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58D5"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5DC6A5C4"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28D2277F" w14:textId="77777777" w:rsidR="00FC0D01" w:rsidRPr="00D3245C" w:rsidRDefault="007915AA" w:rsidP="007915AA">
      <w:pPr>
        <w:pStyle w:val="Title"/>
        <w:jc w:val="center"/>
        <w:rPr>
          <w:rFonts w:ascii="Arial" w:hAnsi="Arial" w:cs="Arial"/>
          <w:sz w:val="40"/>
          <w:szCs w:val="40"/>
        </w:rPr>
      </w:pPr>
      <w:r>
        <w:t>Business Consulting and Organizational Design for Strategic Project Alignment</w:t>
      </w:r>
    </w:p>
    <w:tbl>
      <w:tblPr>
        <w:tblStyle w:val="PlainTable1"/>
        <w:tblW w:w="0" w:type="auto"/>
        <w:tblLook w:val="04A0" w:firstRow="1" w:lastRow="0" w:firstColumn="1" w:lastColumn="0" w:noHBand="0" w:noVBand="1"/>
      </w:tblPr>
      <w:tblGrid>
        <w:gridCol w:w="3025"/>
        <w:gridCol w:w="5991"/>
      </w:tblGrid>
      <w:tr w:rsidR="00950E24" w:rsidRPr="00D3245C" w14:paraId="0E0EFEED"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141FE11"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7BBC9E3A" w14:textId="1469658D" w:rsidR="00A61905" w:rsidRPr="00101D7B"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01D7B">
              <w:rPr>
                <w:rFonts w:ascii="Arial" w:hAnsi="Arial" w:cs="Arial"/>
                <w:sz w:val="22"/>
                <w:szCs w:val="22"/>
              </w:rPr>
              <w:t>MAPM 6</w:t>
            </w:r>
            <w:r w:rsidR="00101D7B" w:rsidRPr="00101D7B">
              <w:rPr>
                <w:rFonts w:ascii="Arial" w:hAnsi="Arial" w:cs="Arial"/>
                <w:sz w:val="22"/>
                <w:szCs w:val="22"/>
              </w:rPr>
              <w:t>32</w:t>
            </w:r>
          </w:p>
        </w:tc>
      </w:tr>
      <w:tr w:rsidR="00950E24" w:rsidRPr="00D3245C" w14:paraId="0A04620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70567448"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FB7D21C" w14:textId="77777777" w:rsidR="00A61905" w:rsidRPr="00101D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1D7B">
              <w:rPr>
                <w:rFonts w:ascii="Arial" w:hAnsi="Arial" w:cs="Arial"/>
                <w:sz w:val="22"/>
                <w:szCs w:val="22"/>
              </w:rPr>
              <w:t>3 Credits</w:t>
            </w:r>
          </w:p>
        </w:tc>
      </w:tr>
      <w:tr w:rsidR="00950E24" w:rsidRPr="00D3245C" w14:paraId="03A0621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65306E11"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DFB7ABD" w14:textId="77777777" w:rsidR="00A61905" w:rsidRPr="00101D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1D7B">
              <w:rPr>
                <w:rFonts w:ascii="Arial" w:hAnsi="Arial" w:cs="Arial"/>
                <w:sz w:val="22"/>
                <w:szCs w:val="22"/>
              </w:rPr>
              <w:t>Graduate</w:t>
            </w:r>
          </w:p>
        </w:tc>
      </w:tr>
      <w:tr w:rsidR="00D613CD" w:rsidRPr="00D3245C" w14:paraId="2CA8F74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E05730"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0111C393" w14:textId="77777777" w:rsidR="00101D7B" w:rsidRDefault="00101D7B" w:rsidP="00101D7B">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21888E6F" w14:textId="77777777" w:rsidR="00101D7B" w:rsidRPr="009048C1" w:rsidRDefault="00101D7B" w:rsidP="00101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0ECCFC5D" w14:textId="77777777" w:rsidR="00101D7B" w:rsidRPr="009048C1" w:rsidRDefault="00101D7B" w:rsidP="00101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68FA3810" w14:textId="77777777" w:rsidR="00101D7B" w:rsidRPr="009048C1" w:rsidRDefault="00101D7B" w:rsidP="00101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6245AFD0" w14:textId="77777777" w:rsidR="00101D7B" w:rsidRDefault="00101D7B" w:rsidP="00101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4B7D9AD0" w14:textId="695CA91E" w:rsidR="00A61905" w:rsidRPr="00101D7B" w:rsidRDefault="00101D7B" w:rsidP="00101D7B">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D59B7">
              <w:rPr>
                <w:rFonts w:ascii="Arial" w:eastAsia="Arial" w:hAnsi="Arial" w:cs="Arial"/>
                <w:color w:val="000000"/>
                <w:sz w:val="22"/>
                <w:szCs w:val="22"/>
              </w:rPr>
              <w:t>MAPM 605 PM in Practice: Monitoring &amp; Controlling and Closing</w:t>
            </w:r>
          </w:p>
        </w:tc>
      </w:tr>
      <w:tr w:rsidR="00D613CD" w:rsidRPr="00D3245C" w14:paraId="6E0EE834"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69223C59"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617203F6" w14:textId="77777777" w:rsidR="00A61905" w:rsidRPr="00101D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1D7B">
              <w:rPr>
                <w:rFonts w:ascii="Arial" w:hAnsi="Arial" w:cs="Arial"/>
                <w:sz w:val="22"/>
                <w:szCs w:val="22"/>
              </w:rPr>
              <w:t>5 Weeks</w:t>
            </w:r>
          </w:p>
        </w:tc>
      </w:tr>
      <w:tr w:rsidR="00D613CD" w:rsidRPr="00D3245C" w14:paraId="77B340D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CEF0C0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09AE1DA0" w14:textId="77777777" w:rsidR="00A61905" w:rsidRPr="00101D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1D7B">
              <w:rPr>
                <w:rFonts w:ascii="Arial" w:hAnsi="Arial" w:cs="Arial"/>
                <w:sz w:val="22"/>
                <w:szCs w:val="22"/>
              </w:rPr>
              <w:t>Online (Synchronous &amp; Asynchronous Sessions)</w:t>
            </w:r>
          </w:p>
        </w:tc>
      </w:tr>
      <w:tr w:rsidR="00D613CD" w:rsidRPr="00D3245C" w14:paraId="2C1D6842"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32CC51E7" w14:textId="20DD6AF3" w:rsidR="00D613CD" w:rsidRPr="00D3245C" w:rsidRDefault="00210334" w:rsidP="00D613CD">
            <w:pPr>
              <w:spacing w:before="60" w:after="60"/>
              <w:rPr>
                <w:rFonts w:ascii="Arial" w:hAnsi="Arial" w:cs="Arial"/>
              </w:rPr>
            </w:pPr>
            <w:r>
              <w:rPr>
                <w:rFonts w:ascii="Arial" w:eastAsia="Arial" w:hAnsi="Arial" w:cs="Arial"/>
                <w:color w:val="000000"/>
                <w:sz w:val="22"/>
                <w:szCs w:val="22"/>
              </w:rPr>
              <w:t xml:space="preserve">Total </w:t>
            </w:r>
            <w:r w:rsidR="00D613CD" w:rsidRPr="00D3245C">
              <w:rPr>
                <w:rFonts w:ascii="Arial" w:eastAsia="Arial" w:hAnsi="Arial" w:cs="Arial"/>
                <w:color w:val="000000"/>
                <w:sz w:val="22"/>
                <w:szCs w:val="22"/>
              </w:rPr>
              <w:t>Contact Hours:</w:t>
            </w:r>
          </w:p>
        </w:tc>
        <w:tc>
          <w:tcPr>
            <w:tcW w:w="5991" w:type="dxa"/>
          </w:tcPr>
          <w:p w14:paraId="71A4064D" w14:textId="77777777" w:rsidR="00101D7B" w:rsidRPr="007D1E14" w:rsidRDefault="00101D7B" w:rsidP="00101D7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3C92B6AD" w14:textId="77777777" w:rsidR="00101D7B" w:rsidRDefault="00101D7B" w:rsidP="00101D7B">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6376EAAE" w14:textId="77777777" w:rsidR="00101D7B" w:rsidRDefault="00101D7B" w:rsidP="00101D7B">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6415FB43" w14:textId="77777777" w:rsidR="00101D7B" w:rsidRDefault="00101D7B" w:rsidP="00101D7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3A552251" w14:textId="77777777" w:rsidR="00101D7B" w:rsidRPr="007D1E14" w:rsidRDefault="00101D7B" w:rsidP="00101D7B">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636EC8E2" w14:textId="3EA8A376" w:rsidR="00A61905" w:rsidRPr="00101D7B" w:rsidRDefault="00101D7B" w:rsidP="00101D7B">
            <w:pPr>
              <w:pStyle w:val="ListParagraph"/>
              <w:numPr>
                <w:ilvl w:val="0"/>
                <w:numId w:val="33"/>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20 hours (4 hours/week from week 1 to week 5)</w:t>
            </w:r>
          </w:p>
        </w:tc>
      </w:tr>
      <w:tr w:rsidR="00D613CD" w:rsidRPr="00D3245C" w14:paraId="736E29D0"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7F3583D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4310B7F6" w14:textId="77777777" w:rsidR="00A61905" w:rsidRPr="00101D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1D7B">
              <w:rPr>
                <w:rFonts w:ascii="Arial" w:hAnsi="Arial" w:cs="Arial"/>
                <w:sz w:val="22"/>
                <w:szCs w:val="22"/>
              </w:rPr>
              <w:t>[To Be Determined]</w:t>
            </w:r>
          </w:p>
        </w:tc>
      </w:tr>
      <w:tr w:rsidR="00D613CD" w:rsidRPr="00D3245C" w14:paraId="1ADF47A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6446FB69"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1227C5E3" w14:textId="77777777" w:rsidR="00A61905" w:rsidRPr="00101D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1D7B">
              <w:rPr>
                <w:rFonts w:ascii="Arial" w:hAnsi="Arial" w:cs="Arial"/>
                <w:sz w:val="22"/>
                <w:szCs w:val="22"/>
              </w:rPr>
              <w:t>____________________</w:t>
            </w:r>
          </w:p>
        </w:tc>
      </w:tr>
      <w:tr w:rsidR="00D613CD" w:rsidRPr="00D3245C" w14:paraId="00179CDE"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2CD396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1620B6F5" w14:textId="77777777" w:rsidR="00A61905" w:rsidRPr="00101D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1D7B">
              <w:rPr>
                <w:rFonts w:ascii="Arial" w:hAnsi="Arial" w:cs="Arial"/>
                <w:sz w:val="22"/>
                <w:szCs w:val="22"/>
              </w:rPr>
              <w:t>[To Be Determined]</w:t>
            </w:r>
          </w:p>
        </w:tc>
      </w:tr>
      <w:tr w:rsidR="00D613CD" w:rsidRPr="00D3245C" w14:paraId="3A2A3F3A"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4E99C2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31197F02" w14:textId="77777777" w:rsidR="00A61905" w:rsidRPr="00101D7B"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1D7B">
              <w:rPr>
                <w:rFonts w:ascii="Arial" w:hAnsi="Arial" w:cs="Arial"/>
                <w:sz w:val="22"/>
                <w:szCs w:val="22"/>
              </w:rPr>
              <w:t>[To Be Determined]</w:t>
            </w:r>
          </w:p>
        </w:tc>
      </w:tr>
      <w:tr w:rsidR="00D613CD" w:rsidRPr="00D3245C" w14:paraId="29D9B77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C8633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7F9247CE" w14:textId="77777777" w:rsidR="00A61905" w:rsidRPr="00101D7B"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1D7B">
              <w:rPr>
                <w:rFonts w:ascii="Arial" w:hAnsi="Arial" w:cs="Arial"/>
                <w:sz w:val="22"/>
                <w:szCs w:val="22"/>
              </w:rPr>
              <w:t>Alluvion Games</w:t>
            </w:r>
          </w:p>
        </w:tc>
      </w:tr>
    </w:tbl>
    <w:p w14:paraId="205FB33C" w14:textId="77777777" w:rsidR="00950E24" w:rsidRPr="00D3245C" w:rsidRDefault="00000000">
      <w:pPr>
        <w:pStyle w:val="Heading1"/>
        <w:rPr>
          <w:rFonts w:ascii="Arial" w:hAnsi="Arial" w:cs="Arial"/>
        </w:rPr>
      </w:pPr>
      <w:r w:rsidRPr="00D3245C">
        <w:rPr>
          <w:rFonts w:ascii="Arial" w:hAnsi="Arial" w:cs="Arial"/>
        </w:rPr>
        <w:t>1. COURSE DESCRIPTION</w:t>
      </w:r>
    </w:p>
    <w:p w14:paraId="126BD353" w14:textId="77777777" w:rsidR="00BF440D" w:rsidRPr="00101D7B" w:rsidRDefault="00F746E5">
      <w:pPr>
        <w:spacing w:before="120" w:after="120"/>
        <w:rPr>
          <w:rFonts w:ascii="Arial" w:eastAsia="Arial" w:hAnsi="Arial" w:cs="Arial"/>
          <w:sz w:val="24"/>
          <w:szCs w:val="24"/>
        </w:rPr>
      </w:pPr>
      <w:r w:rsidRPr="00101D7B">
        <w:rPr>
          <w:rFonts w:ascii="Arial" w:hAnsi="Arial" w:cs="Arial"/>
          <w:sz w:val="22"/>
          <w:szCs w:val="22"/>
        </w:rPr>
        <w:lastRenderedPageBreak/>
        <w:t>This course examines the intersection of business consulting and organizational design in project environments. It focuses on how consultants and project leaders diagnose organizational structures, decision systems, and operating models to improve strategic alignment, delivery capability, and change readiness.</w:t>
      </w:r>
    </w:p>
    <w:p w14:paraId="4D96D86A" w14:textId="77777777" w:rsidR="00615586" w:rsidRPr="00101D7B" w:rsidRDefault="002A51AF">
      <w:pPr>
        <w:spacing w:before="120" w:after="120"/>
        <w:rPr>
          <w:rFonts w:ascii="Arial" w:eastAsia="Arial" w:hAnsi="Arial" w:cs="Arial"/>
          <w:sz w:val="24"/>
          <w:szCs w:val="24"/>
        </w:rPr>
      </w:pPr>
      <w:r w:rsidRPr="00101D7B">
        <w:rPr>
          <w:rFonts w:ascii="Arial" w:hAnsi="Arial" w:cs="Arial"/>
          <w:sz w:val="22"/>
          <w:szCs w:val="22"/>
        </w:rPr>
        <w:t>Students will apply consulting frameworks to real-world organizational challenges, including misalignment with business goals, inefficient governance, unclear accountability, and adaptation pressures in changing markets. Through case-based learning, students develop practical recommendations that connect organizational design decisions to project performance and long-term business value.</w:t>
      </w:r>
    </w:p>
    <w:p w14:paraId="2EF93C5E" w14:textId="77777777" w:rsidR="00950E24" w:rsidRPr="00D3245C" w:rsidRDefault="00000000">
      <w:pPr>
        <w:pStyle w:val="Heading1"/>
        <w:rPr>
          <w:rFonts w:ascii="Arial" w:hAnsi="Arial" w:cs="Arial"/>
        </w:rPr>
      </w:pPr>
      <w:r w:rsidRPr="00D3245C">
        <w:rPr>
          <w:rFonts w:ascii="Arial" w:hAnsi="Arial" w:cs="Arial"/>
        </w:rPr>
        <w:t>2. COURSE LEARNING OUTCOMES</w:t>
      </w:r>
    </w:p>
    <w:p w14:paraId="2A8D9E2B"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15F99E0E" w14:textId="77777777" w:rsidR="00950E24" w:rsidRPr="0090299A" w:rsidRDefault="00000000">
      <w:pPr>
        <w:pStyle w:val="ListParagraph"/>
        <w:numPr>
          <w:ilvl w:val="0"/>
          <w:numId w:val="2"/>
        </w:numPr>
        <w:spacing w:before="60" w:after="60"/>
        <w:rPr>
          <w:rFonts w:ascii="Arial" w:hAnsi="Arial" w:cs="Arial"/>
          <w:sz w:val="22"/>
          <w:szCs w:val="22"/>
        </w:rPr>
      </w:pPr>
      <w:r w:rsidRPr="0090299A">
        <w:rPr>
          <w:rFonts w:ascii="Arial" w:hAnsi="Arial" w:cs="Arial"/>
          <w:sz w:val="22"/>
          <w:szCs w:val="22"/>
        </w:rPr>
        <w:t>Analyze organizational design elements (structure, roles, governance, and workflows) and their impact on project execution and outcomes. [Analyze]</w:t>
      </w:r>
    </w:p>
    <w:p w14:paraId="24314F09" w14:textId="77777777" w:rsidR="00950E24" w:rsidRPr="0090299A" w:rsidRDefault="00E916CD">
      <w:pPr>
        <w:pStyle w:val="ListParagraph"/>
        <w:numPr>
          <w:ilvl w:val="0"/>
          <w:numId w:val="2"/>
        </w:numPr>
        <w:spacing w:before="60" w:after="60"/>
        <w:rPr>
          <w:rFonts w:ascii="Arial" w:hAnsi="Arial" w:cs="Arial"/>
          <w:sz w:val="22"/>
          <w:szCs w:val="22"/>
        </w:rPr>
      </w:pPr>
      <w:r w:rsidRPr="0090299A">
        <w:rPr>
          <w:rFonts w:ascii="Arial" w:hAnsi="Arial" w:cs="Arial"/>
          <w:sz w:val="22"/>
          <w:szCs w:val="22"/>
        </w:rPr>
        <w:t>Evaluate the degree of alignment between business strategy, organizational capabilities, and project portfolio priorities. [Evaluate]</w:t>
      </w:r>
    </w:p>
    <w:p w14:paraId="12B1DED8" w14:textId="77777777" w:rsidR="00950E24" w:rsidRPr="0090299A" w:rsidRDefault="009113B2">
      <w:pPr>
        <w:pStyle w:val="ListParagraph"/>
        <w:numPr>
          <w:ilvl w:val="0"/>
          <w:numId w:val="2"/>
        </w:numPr>
        <w:spacing w:before="60" w:after="60"/>
        <w:rPr>
          <w:rFonts w:ascii="Arial" w:hAnsi="Arial" w:cs="Arial"/>
          <w:sz w:val="22"/>
          <w:szCs w:val="22"/>
        </w:rPr>
      </w:pPr>
      <w:r w:rsidRPr="0090299A">
        <w:rPr>
          <w:rFonts w:ascii="Arial" w:hAnsi="Arial" w:cs="Arial"/>
          <w:sz w:val="22"/>
          <w:szCs w:val="22"/>
        </w:rPr>
        <w:t>Develop a consulting-based diagnostic and recommendation framework to address organizational misalignment and performance gaps. [Create]</w:t>
      </w:r>
    </w:p>
    <w:p w14:paraId="4CBEBE63" w14:textId="77777777" w:rsidR="00950E24" w:rsidRPr="0090299A" w:rsidRDefault="00000000">
      <w:pPr>
        <w:pStyle w:val="ListParagraph"/>
        <w:numPr>
          <w:ilvl w:val="0"/>
          <w:numId w:val="2"/>
        </w:numPr>
        <w:spacing w:before="60" w:after="60"/>
        <w:rPr>
          <w:rFonts w:ascii="Arial" w:hAnsi="Arial" w:cs="Arial"/>
          <w:sz w:val="22"/>
          <w:szCs w:val="22"/>
        </w:rPr>
      </w:pPr>
      <w:r w:rsidRPr="0090299A">
        <w:rPr>
          <w:rFonts w:ascii="Arial" w:hAnsi="Arial" w:cs="Arial"/>
          <w:sz w:val="22"/>
          <w:szCs w:val="22"/>
        </w:rPr>
        <w:t>Examine change drivers (market shifts, technology, talent, and regulation) and their implications for organizational redesign in project contexts. [Examine]</w:t>
      </w:r>
    </w:p>
    <w:p w14:paraId="4C9AC577" w14:textId="77777777" w:rsidR="00950E24" w:rsidRPr="0090299A" w:rsidRDefault="00EC14BA">
      <w:pPr>
        <w:pStyle w:val="ListParagraph"/>
        <w:numPr>
          <w:ilvl w:val="0"/>
          <w:numId w:val="2"/>
        </w:numPr>
        <w:spacing w:before="60" w:after="60"/>
        <w:rPr>
          <w:rFonts w:ascii="Arial" w:hAnsi="Arial" w:cs="Arial"/>
          <w:sz w:val="22"/>
          <w:szCs w:val="22"/>
        </w:rPr>
      </w:pPr>
      <w:r w:rsidRPr="0090299A">
        <w:rPr>
          <w:rFonts w:ascii="Arial" w:hAnsi="Arial" w:cs="Arial"/>
          <w:sz w:val="22"/>
          <w:szCs w:val="22"/>
        </w:rPr>
        <w:t>Design stakeholder engagement and communication strategies to support organizational change and adoption of consulting recommendations. [Create]</w:t>
      </w:r>
    </w:p>
    <w:p w14:paraId="6896367A" w14:textId="77777777" w:rsidR="00950E24" w:rsidRPr="0090299A" w:rsidRDefault="00AA3B54" w:rsidP="00281122">
      <w:pPr>
        <w:pStyle w:val="ListParagraph"/>
        <w:numPr>
          <w:ilvl w:val="0"/>
          <w:numId w:val="2"/>
        </w:numPr>
        <w:spacing w:before="60" w:after="60"/>
        <w:rPr>
          <w:rFonts w:ascii="Arial" w:hAnsi="Arial" w:cs="Arial"/>
          <w:sz w:val="22"/>
          <w:szCs w:val="22"/>
        </w:rPr>
      </w:pPr>
      <w:r w:rsidRPr="0090299A">
        <w:rPr>
          <w:rFonts w:ascii="Arial" w:hAnsi="Arial" w:cs="Arial"/>
          <w:sz w:val="22"/>
          <w:szCs w:val="22"/>
        </w:rPr>
        <w:t>Assess implementation progress using organizational and project KPIs and recommend adaptive improvement actions. [Evaluate]</w:t>
      </w:r>
    </w:p>
    <w:p w14:paraId="65B4D4C3" w14:textId="77777777" w:rsidR="00950E24" w:rsidRPr="00D3245C" w:rsidRDefault="00000000">
      <w:pPr>
        <w:pStyle w:val="Heading1"/>
        <w:rPr>
          <w:rFonts w:ascii="Arial" w:hAnsi="Arial" w:cs="Arial"/>
        </w:rPr>
      </w:pPr>
      <w:r w:rsidRPr="00D3245C">
        <w:rPr>
          <w:rFonts w:ascii="Arial" w:hAnsi="Arial" w:cs="Arial"/>
        </w:rPr>
        <w:t>3. REQUIRED MATERIALS</w:t>
      </w:r>
    </w:p>
    <w:p w14:paraId="65533300" w14:textId="77777777" w:rsidR="00950E24" w:rsidRPr="00D3245C" w:rsidRDefault="00000000">
      <w:pPr>
        <w:pStyle w:val="Heading2"/>
        <w:rPr>
          <w:rFonts w:ascii="Arial" w:hAnsi="Arial" w:cs="Arial"/>
        </w:rPr>
      </w:pPr>
      <w:r>
        <w:t>3.1 Primary Textbook</w:t>
      </w:r>
    </w:p>
    <w:p w14:paraId="062109C7" w14:textId="77777777" w:rsidR="002E7D23" w:rsidRPr="0081050D" w:rsidRDefault="002E7D23" w:rsidP="002E7D23">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619A2C29" w14:textId="77777777" w:rsidR="00950E24" w:rsidRPr="00D3245C" w:rsidRDefault="00000000">
      <w:pPr>
        <w:pStyle w:val="Heading2"/>
        <w:rPr>
          <w:rFonts w:ascii="Arial" w:hAnsi="Arial" w:cs="Arial"/>
        </w:rPr>
      </w:pPr>
      <w:r>
        <w:t>3.2 Supplementary Textbook and Professional Materials</w:t>
      </w:r>
    </w:p>
    <w:p w14:paraId="729D09A4" w14:textId="77777777"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0D87D63C" w14:textId="77777777" w:rsidR="00950E24" w:rsidRPr="00D3245C" w:rsidRDefault="00000000">
      <w:pPr>
        <w:pStyle w:val="Heading2"/>
        <w:rPr>
          <w:rFonts w:ascii="Arial" w:hAnsi="Arial" w:cs="Arial"/>
        </w:rPr>
      </w:pPr>
      <w:r>
        <w:t>3.3 Open Educational Resources (OER)</w:t>
      </w:r>
    </w:p>
    <w:p w14:paraId="2F3286CD" w14:textId="77777777" w:rsidR="002E4347" w:rsidRPr="002E7D23" w:rsidRDefault="002E4347" w:rsidP="00B837A3">
      <w:pPr>
        <w:pStyle w:val="Bibliography"/>
        <w:numPr>
          <w:ilvl w:val="0"/>
          <w:numId w:val="7"/>
        </w:numPr>
        <w:spacing w:line="240" w:lineRule="auto"/>
        <w:rPr>
          <w:rFonts w:ascii="Arial" w:hAnsi="Arial" w:cs="Arial"/>
          <w:noProof/>
          <w:kern w:val="0"/>
          <w:sz w:val="22"/>
          <w:szCs w:val="22"/>
          <w14:ligatures w14:val="none"/>
        </w:rPr>
      </w:pPr>
      <w:r w:rsidRPr="002E7D23">
        <w:rPr>
          <w:rFonts w:ascii="Arial" w:hAnsi="Arial" w:cs="Arial"/>
          <w:sz w:val="22"/>
          <w:szCs w:val="22"/>
        </w:rPr>
        <w:t>PMI. (2025). A Guide to the Project Management Body of Knowledge (PMBOK® Guide). Newtown Square, PA: Project Management Institute.</w:t>
      </w:r>
    </w:p>
    <w:p w14:paraId="406A397E" w14:textId="77777777" w:rsidR="00B5005B" w:rsidRPr="002E7D23" w:rsidRDefault="00B5005B" w:rsidP="00B837A3">
      <w:pPr>
        <w:pStyle w:val="Bibliography"/>
        <w:numPr>
          <w:ilvl w:val="0"/>
          <w:numId w:val="7"/>
        </w:numPr>
        <w:spacing w:line="240" w:lineRule="auto"/>
        <w:rPr>
          <w:rFonts w:ascii="Arial" w:hAnsi="Arial" w:cs="Arial"/>
          <w:noProof/>
          <w:kern w:val="0"/>
          <w:sz w:val="22"/>
          <w:szCs w:val="22"/>
          <w14:ligatures w14:val="none"/>
        </w:rPr>
      </w:pPr>
      <w:r w:rsidRPr="002E7D23">
        <w:rPr>
          <w:rFonts w:ascii="Arial" w:hAnsi="Arial" w:cs="Arial"/>
          <w:sz w:val="22"/>
          <w:szCs w:val="22"/>
        </w:rPr>
        <w:t>Burke, W. W. (latest edition). Organization Change: Theory and Practice.</w:t>
      </w:r>
    </w:p>
    <w:p w14:paraId="462C7A81" w14:textId="77777777" w:rsidR="00516ADC" w:rsidRPr="002E7D23" w:rsidRDefault="00516ADC" w:rsidP="003B616E">
      <w:pPr>
        <w:pStyle w:val="Bibliography"/>
        <w:numPr>
          <w:ilvl w:val="0"/>
          <w:numId w:val="7"/>
        </w:numPr>
        <w:spacing w:line="240" w:lineRule="auto"/>
        <w:rPr>
          <w:rFonts w:ascii="Arial" w:hAnsi="Arial" w:cs="Arial"/>
          <w:noProof/>
          <w:sz w:val="22"/>
          <w:szCs w:val="22"/>
        </w:rPr>
      </w:pPr>
      <w:r w:rsidRPr="002E7D23">
        <w:rPr>
          <w:rFonts w:ascii="Arial" w:hAnsi="Arial" w:cs="Arial"/>
          <w:sz w:val="22"/>
          <w:szCs w:val="22"/>
        </w:rPr>
        <w:t>Galbraith, J. R. (selected works). Designing Organizations: Strategy, Structure, and Process at the Business Unit and Enterprise Levels.</w:t>
      </w:r>
    </w:p>
    <w:p w14:paraId="336477A3" w14:textId="77777777" w:rsidR="00935E7D" w:rsidRPr="002E7D23" w:rsidRDefault="00935E7D" w:rsidP="003B616E">
      <w:pPr>
        <w:pStyle w:val="Bibliography"/>
        <w:numPr>
          <w:ilvl w:val="0"/>
          <w:numId w:val="7"/>
        </w:numPr>
        <w:spacing w:line="240" w:lineRule="auto"/>
        <w:rPr>
          <w:rFonts w:ascii="Arial" w:hAnsi="Arial" w:cs="Arial"/>
          <w:noProof/>
          <w:sz w:val="22"/>
          <w:szCs w:val="22"/>
        </w:rPr>
      </w:pPr>
      <w:r w:rsidRPr="002E7D23">
        <w:rPr>
          <w:rFonts w:ascii="Arial" w:hAnsi="Arial" w:cs="Arial"/>
          <w:sz w:val="22"/>
          <w:szCs w:val="22"/>
        </w:rPr>
        <w:t>Nadler, D., &amp; Tushman, M. (selected works). Congruence model and organizational alignment literature.</w:t>
      </w:r>
    </w:p>
    <w:p w14:paraId="304E7AB6" w14:textId="77777777" w:rsidR="003B616E" w:rsidRPr="002E7D23" w:rsidRDefault="003B616E" w:rsidP="003B616E">
      <w:pPr>
        <w:pStyle w:val="Bibliography"/>
        <w:numPr>
          <w:ilvl w:val="0"/>
          <w:numId w:val="7"/>
        </w:numPr>
        <w:spacing w:line="240" w:lineRule="auto"/>
        <w:rPr>
          <w:rFonts w:ascii="Arial" w:hAnsi="Arial" w:cs="Arial"/>
          <w:noProof/>
          <w:sz w:val="22"/>
          <w:szCs w:val="22"/>
        </w:rPr>
      </w:pPr>
      <w:r w:rsidRPr="002E7D23">
        <w:rPr>
          <w:rFonts w:ascii="Arial" w:hAnsi="Arial" w:cs="Arial"/>
          <w:sz w:val="22"/>
          <w:szCs w:val="22"/>
        </w:rPr>
        <w:t>OECD open resources on organizational capability and productivity.</w:t>
      </w:r>
    </w:p>
    <w:p w14:paraId="4DC6716E" w14:textId="77777777" w:rsidR="003B616E" w:rsidRPr="002E7D23" w:rsidRDefault="00804D8E" w:rsidP="002E7D23">
      <w:pPr>
        <w:pStyle w:val="ListParagraph"/>
        <w:numPr>
          <w:ilvl w:val="0"/>
          <w:numId w:val="7"/>
        </w:numPr>
        <w:rPr>
          <w:rFonts w:ascii="Arial" w:hAnsi="Arial" w:cs="Arial"/>
          <w:sz w:val="22"/>
          <w:szCs w:val="22"/>
          <w:lang w:val="en-US"/>
        </w:rPr>
      </w:pPr>
      <w:r w:rsidRPr="002E7D23">
        <w:rPr>
          <w:rFonts w:ascii="Arial" w:hAnsi="Arial" w:cs="Arial"/>
          <w:sz w:val="22"/>
          <w:szCs w:val="22"/>
        </w:rPr>
        <w:lastRenderedPageBreak/>
        <w:t>World Bank and public-sector reform case resources (open) for organization design and implementation.</w:t>
      </w:r>
    </w:p>
    <w:p w14:paraId="50FA7695" w14:textId="77777777" w:rsidR="00725B20" w:rsidRPr="002E7D23" w:rsidRDefault="00725B20" w:rsidP="00B837A3">
      <w:pPr>
        <w:pStyle w:val="Bibliography"/>
        <w:numPr>
          <w:ilvl w:val="0"/>
          <w:numId w:val="7"/>
        </w:numPr>
        <w:spacing w:line="240" w:lineRule="auto"/>
        <w:rPr>
          <w:rFonts w:ascii="Arial" w:hAnsi="Arial" w:cs="Arial"/>
          <w:noProof/>
          <w:sz w:val="22"/>
          <w:szCs w:val="22"/>
        </w:rPr>
      </w:pPr>
      <w:r w:rsidRPr="002E7D23">
        <w:rPr>
          <w:rFonts w:ascii="Arial" w:hAnsi="Arial" w:cs="Arial"/>
          <w:sz w:val="22"/>
          <w:szCs w:val="22"/>
        </w:rPr>
        <w:t>Open educational content on consulting methods, root-cause analysis, and change management frameworks.</w:t>
      </w:r>
    </w:p>
    <w:p w14:paraId="33A40201" w14:textId="77777777" w:rsidR="005D6546" w:rsidRPr="002E7D23" w:rsidRDefault="005D6546" w:rsidP="00B837A3">
      <w:pPr>
        <w:pStyle w:val="Bibliography"/>
        <w:numPr>
          <w:ilvl w:val="0"/>
          <w:numId w:val="7"/>
        </w:numPr>
        <w:spacing w:line="240" w:lineRule="auto"/>
        <w:rPr>
          <w:rFonts w:ascii="Arial" w:hAnsi="Arial" w:cs="Arial"/>
          <w:noProof/>
          <w:sz w:val="22"/>
          <w:szCs w:val="22"/>
        </w:rPr>
      </w:pPr>
      <w:r w:rsidRPr="002E7D23">
        <w:rPr>
          <w:rFonts w:ascii="Arial" w:hAnsi="Arial" w:cs="Arial"/>
          <w:sz w:val="22"/>
          <w:szCs w:val="22"/>
        </w:rPr>
        <w:t>Selected Harvard Business Review and practitioner reports on operating model redesign and strategy execution.</w:t>
      </w:r>
    </w:p>
    <w:p w14:paraId="487D8C7A" w14:textId="77777777" w:rsidR="00950E24" w:rsidRPr="00D3245C" w:rsidRDefault="00000000">
      <w:pPr>
        <w:pStyle w:val="Heading2"/>
        <w:rPr>
          <w:rFonts w:ascii="Arial" w:hAnsi="Arial" w:cs="Arial"/>
        </w:rPr>
      </w:pPr>
      <w:r w:rsidRPr="00D3245C">
        <w:rPr>
          <w:rFonts w:ascii="Arial" w:hAnsi="Arial" w:cs="Arial"/>
        </w:rPr>
        <w:t>3.4 Technology Requirements</w:t>
      </w:r>
    </w:p>
    <w:p w14:paraId="1382F82B"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227746E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54E848D0"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6E3E2A2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61E4FFA6" w14:textId="77777777"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29307486" w14:textId="77777777" w:rsidR="00950E24" w:rsidRPr="00D3245C" w:rsidRDefault="00000000">
      <w:pPr>
        <w:pStyle w:val="Heading1"/>
        <w:rPr>
          <w:rFonts w:ascii="Arial" w:hAnsi="Arial" w:cs="Arial"/>
        </w:rPr>
      </w:pPr>
      <w:r w:rsidRPr="00D3245C">
        <w:rPr>
          <w:rFonts w:ascii="Arial" w:hAnsi="Arial" w:cs="Arial"/>
        </w:rPr>
        <w:t>4. ASSESSMENT STRUCTURE</w:t>
      </w:r>
    </w:p>
    <w:p w14:paraId="42F2FDC4"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7450E724"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EFE0DCF"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64B495"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970B807"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47758D88"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5EC040FE"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108A464A"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23B73B95"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4F13EF4D"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C38269"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6EAE1D"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1A82AC"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2B78D0FC"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AD04FB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348DF04D"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444879E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4E431F03"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F60D04" w14:textId="77777777" w:rsidR="00FC1B6C" w:rsidRPr="00D3245C" w:rsidRDefault="00FC1B6C" w:rsidP="00AB3B7B">
            <w:pPr>
              <w:spacing w:before="60" w:after="60"/>
              <w:rPr>
                <w:rFonts w:ascii="Arial" w:hAnsi="Arial" w:cs="Arial"/>
              </w:rPr>
            </w:pPr>
            <w:r>
              <w:rPr>
                <w:rFonts w:ascii="Arial" w:eastAsia="Arial" w:hAnsi="Arial" w:cs="Arial"/>
                <w:color w:val="000000"/>
                <w:sz w:val="22"/>
                <w:szCs w:val="22"/>
              </w:rPr>
              <w:t xml:space="preserve">Self-Reflection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2</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5E3881"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FAA95D6"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61CD9FA"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09A211"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Term</w:t>
            </w:r>
            <w:r w:rsidR="00FC1B6C">
              <w:rPr>
                <w:rFonts w:ascii="Arial" w:eastAsia="Arial" w:hAnsi="Arial" w:cs="Arial"/>
                <w:color w:val="000000"/>
                <w:sz w:val="22"/>
                <w:szCs w:val="22"/>
              </w:rPr>
              <w:t xml:space="preserve"> </w:t>
            </w:r>
            <w:r w:rsidR="00FC1B6C" w:rsidRPr="00D3245C">
              <w:rPr>
                <w:rFonts w:ascii="Arial" w:eastAsia="Arial" w:hAnsi="Arial" w:cs="Arial"/>
                <w:color w:val="000000"/>
                <w:sz w:val="22"/>
                <w:szCs w:val="22"/>
              </w:rPr>
              <w:t xml:space="preserve">Project </w:t>
            </w:r>
            <w:r w:rsidR="00FC1B6C">
              <w:rPr>
                <w:rFonts w:ascii="Arial" w:eastAsia="Arial" w:hAnsi="Arial" w:cs="Arial"/>
                <w:color w:val="000000"/>
                <w:sz w:val="22"/>
                <w:szCs w:val="22"/>
              </w:rPr>
              <w:t xml:space="preserve">Written Report </w:t>
            </w:r>
            <w:r w:rsidR="00FC1B6C" w:rsidRPr="00D3245C">
              <w:rPr>
                <w:rFonts w:ascii="Arial" w:eastAsia="Arial" w:hAnsi="Arial" w:cs="Arial"/>
                <w:color w:val="000000"/>
                <w:sz w:val="22"/>
                <w:szCs w:val="22"/>
              </w:rPr>
              <w:t xml:space="preserve">(Summative </w:t>
            </w:r>
            <w:r w:rsidR="00FC1B6C">
              <w:rPr>
                <w:rFonts w:ascii="Arial" w:eastAsia="Arial" w:hAnsi="Arial" w:cs="Arial"/>
                <w:color w:val="000000"/>
                <w:sz w:val="22"/>
                <w:szCs w:val="22"/>
              </w:rPr>
              <w:t>3</w:t>
            </w:r>
            <w:r w:rsidR="00FC1B6C"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0C9B0FD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25%</w:t>
            </w:r>
          </w:p>
        </w:tc>
        <w:tc>
          <w:tcPr>
            <w:tcW w:w="3011" w:type="dxa"/>
            <w:tcBorders>
              <w:top w:val="single" w:sz="1" w:space="0" w:color="CCCCCC"/>
              <w:left w:val="single" w:sz="1" w:space="0" w:color="CCCCCC"/>
              <w:bottom w:val="single" w:sz="1" w:space="0" w:color="CCCCCC"/>
              <w:right w:val="single" w:sz="1" w:space="0" w:color="CCCCCC"/>
            </w:tcBorders>
            <w:vAlign w:val="center"/>
          </w:tcPr>
          <w:p w14:paraId="33BB5E49"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2F232445"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E309B7"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F8664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7799A5A"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3DD56D2"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72334008"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332C725C"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4B2C0C36" w14:textId="77777777" w:rsidR="00FC1B6C" w:rsidRPr="00D3245C" w:rsidRDefault="00FC1B6C" w:rsidP="00AB3B7B">
            <w:pPr>
              <w:spacing w:before="60" w:after="60"/>
              <w:rPr>
                <w:rFonts w:ascii="Arial" w:hAnsi="Arial" w:cs="Arial"/>
              </w:rPr>
            </w:pPr>
          </w:p>
        </w:tc>
      </w:tr>
    </w:tbl>
    <w:p w14:paraId="0D58A30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3A561593"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C727326"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6DB83019"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E1A31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5DDF91E7"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64ED3337"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7AD2BF2F"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01FD7819"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73F4FAAC"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18417D0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2366D069"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532BD678"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386828B" w14:textId="77777777" w:rsidR="00033264" w:rsidRDefault="00033264" w:rsidP="00033264">
            <w:pPr>
              <w:spacing w:before="60" w:after="60"/>
              <w:jc w:val="center"/>
              <w:rPr>
                <w:rFonts w:ascii="Arial" w:hAnsi="Arial" w:cs="Arial"/>
              </w:rPr>
            </w:pPr>
            <w:r>
              <w:rPr>
                <w:rFonts w:ascii="Arial" w:hAnsi="Arial" w:cs="Arial"/>
              </w:rPr>
              <w:t>B-</w:t>
            </w:r>
          </w:p>
          <w:p w14:paraId="2A4AD5AE"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3F43D1F" w14:textId="77777777" w:rsidR="00033264" w:rsidRDefault="00033264" w:rsidP="00033264">
            <w:pPr>
              <w:spacing w:before="60" w:after="60"/>
              <w:jc w:val="center"/>
              <w:rPr>
                <w:rFonts w:ascii="Arial" w:hAnsi="Arial" w:cs="Arial"/>
              </w:rPr>
            </w:pPr>
            <w:r>
              <w:rPr>
                <w:rFonts w:ascii="Arial" w:hAnsi="Arial" w:cs="Arial"/>
              </w:rPr>
              <w:t>C+</w:t>
            </w:r>
          </w:p>
          <w:p w14:paraId="1BD977A0"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00CEF2CC"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1E451C08"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5C5120EB"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2F68BDB0"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6041D0B8"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57F0FD22"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5F51C43C"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53CFA09F"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5EE20EC8"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2E7D23" w14:paraId="0F8CF64E"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15DF875"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116643"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Consulting Mindset and Organizational Diagnosis</w:t>
            </w:r>
          </w:p>
        </w:tc>
      </w:tr>
      <w:tr w:rsidR="00295C2B" w:rsidRPr="002E7D23" w14:paraId="3A7121A7"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DD1B945" w14:textId="77777777" w:rsidR="00A61905" w:rsidRPr="002E7D23" w:rsidRDefault="00000000">
            <w:pPr>
              <w:rPr>
                <w:rFonts w:ascii="Arial" w:hAnsi="Arial" w:cs="Arial"/>
                <w:sz w:val="22"/>
                <w:szCs w:val="22"/>
              </w:rPr>
            </w:pPr>
            <w:r w:rsidRPr="002E7D2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61BD68FA" w14:textId="77777777" w:rsidR="00A61905" w:rsidRPr="002E7D23" w:rsidRDefault="00000000">
            <w:pPr>
              <w:rPr>
                <w:rFonts w:ascii="Arial" w:hAnsi="Arial" w:cs="Arial"/>
                <w:sz w:val="22"/>
                <w:szCs w:val="22"/>
              </w:rPr>
            </w:pPr>
            <w:r w:rsidRPr="002E7D23">
              <w:rPr>
                <w:rFonts w:ascii="Arial" w:hAnsi="Arial" w:cs="Arial"/>
                <w:sz w:val="22"/>
                <w:szCs w:val="22"/>
              </w:rPr>
              <w:t>Consulting roles, problem framing, organizational design fundamentals, and diagnostic logic</w:t>
            </w:r>
          </w:p>
        </w:tc>
      </w:tr>
      <w:tr w:rsidR="00295C2B" w:rsidRPr="002E7D23" w14:paraId="20B7573C"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124CD8D" w14:textId="77777777" w:rsidR="00A61905" w:rsidRPr="002E7D23" w:rsidRDefault="00000000">
            <w:pPr>
              <w:rPr>
                <w:rFonts w:ascii="Arial" w:hAnsi="Arial" w:cs="Arial"/>
                <w:sz w:val="22"/>
                <w:szCs w:val="22"/>
              </w:rPr>
            </w:pPr>
            <w:r w:rsidRPr="002E7D23">
              <w:rPr>
                <w:rFonts w:ascii="Arial" w:hAnsi="Arial" w:cs="Arial"/>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BEE5173" w14:textId="77777777" w:rsidR="00A61905" w:rsidRPr="002E7D23" w:rsidRDefault="00000000">
            <w:pPr>
              <w:rPr>
                <w:rFonts w:ascii="Arial" w:hAnsi="Arial" w:cs="Arial"/>
                <w:sz w:val="22"/>
                <w:szCs w:val="22"/>
              </w:rPr>
            </w:pPr>
            <w:r w:rsidRPr="002E7D23">
              <w:rPr>
                <w:rFonts w:ascii="Arial" w:hAnsi="Arial" w:cs="Arial"/>
                <w:sz w:val="22"/>
                <w:szCs w:val="22"/>
              </w:rPr>
              <w:t>PMI strategic context sections; open consulting diagnostics resources; selected HBR article(s).</w:t>
            </w:r>
          </w:p>
        </w:tc>
      </w:tr>
      <w:tr w:rsidR="00295C2B" w:rsidRPr="002E7D23" w14:paraId="726ED34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49A63F3" w14:textId="77777777" w:rsidR="00A61905" w:rsidRPr="002E7D23" w:rsidRDefault="00000000">
            <w:pPr>
              <w:rPr>
                <w:rFonts w:ascii="Arial" w:hAnsi="Arial" w:cs="Arial"/>
                <w:sz w:val="22"/>
                <w:szCs w:val="22"/>
              </w:rPr>
            </w:pPr>
            <w:r w:rsidRPr="002E7D2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F9423D" w14:textId="77777777" w:rsidR="00A61905" w:rsidRPr="002E7D23" w:rsidRDefault="00000000">
            <w:pPr>
              <w:rPr>
                <w:rFonts w:ascii="Arial" w:hAnsi="Arial" w:cs="Arial"/>
                <w:sz w:val="22"/>
                <w:szCs w:val="22"/>
              </w:rPr>
            </w:pPr>
            <w:r w:rsidRPr="002E7D23">
              <w:rPr>
                <w:rFonts w:ascii="Arial" w:hAnsi="Arial" w:cs="Arial"/>
                <w:sz w:val="22"/>
                <w:szCs w:val="22"/>
              </w:rPr>
              <w:t>Synchronous: course kickoff and diagnostic framing exercise. Asynchronous: Week 1 quiz / Discussion forum #1</w:t>
            </w:r>
          </w:p>
        </w:tc>
      </w:tr>
      <w:tr w:rsidR="002E7D23" w:rsidRPr="002E7D23" w14:paraId="5C06903E"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0AC690B"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1469674"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Strategy Alignment and Operating Model Fit</w:t>
            </w:r>
          </w:p>
        </w:tc>
      </w:tr>
      <w:tr w:rsidR="00950E24" w:rsidRPr="002E7D23" w14:paraId="44717490"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2D88BE5" w14:textId="77777777" w:rsidR="00A61905" w:rsidRPr="002E7D23" w:rsidRDefault="00000000">
            <w:pPr>
              <w:rPr>
                <w:rFonts w:ascii="Arial" w:hAnsi="Arial" w:cs="Arial"/>
                <w:sz w:val="22"/>
                <w:szCs w:val="22"/>
              </w:rPr>
            </w:pPr>
            <w:r w:rsidRPr="002E7D2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7B7CD9" w14:textId="77777777" w:rsidR="00A61905" w:rsidRPr="002E7D23" w:rsidRDefault="00000000">
            <w:pPr>
              <w:rPr>
                <w:rFonts w:ascii="Arial" w:hAnsi="Arial" w:cs="Arial"/>
                <w:sz w:val="22"/>
                <w:szCs w:val="22"/>
              </w:rPr>
            </w:pPr>
            <w:r w:rsidRPr="002E7D23">
              <w:rPr>
                <w:rFonts w:ascii="Arial" w:hAnsi="Arial" w:cs="Arial"/>
                <w:sz w:val="22"/>
                <w:szCs w:val="22"/>
              </w:rPr>
              <w:t>Business goals translation, role clarity, governance, and operating model alignment</w:t>
            </w:r>
          </w:p>
        </w:tc>
      </w:tr>
      <w:tr w:rsidR="00BD36D5" w:rsidRPr="002E7D23" w14:paraId="3549082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4F91A016" w14:textId="77777777" w:rsidR="00A61905" w:rsidRPr="002E7D23" w:rsidRDefault="00000000">
            <w:pPr>
              <w:rPr>
                <w:rFonts w:ascii="Arial" w:hAnsi="Arial" w:cs="Arial"/>
                <w:sz w:val="22"/>
                <w:szCs w:val="22"/>
              </w:rPr>
            </w:pPr>
            <w:r w:rsidRPr="002E7D23">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0B75BCA" w14:textId="77777777" w:rsidR="00A61905" w:rsidRPr="002E7D23" w:rsidRDefault="00000000">
            <w:pPr>
              <w:rPr>
                <w:rFonts w:ascii="Arial" w:hAnsi="Arial" w:cs="Arial"/>
                <w:sz w:val="22"/>
                <w:szCs w:val="22"/>
              </w:rPr>
            </w:pPr>
            <w:r w:rsidRPr="002E7D23">
              <w:rPr>
                <w:rFonts w:ascii="Arial" w:hAnsi="Arial" w:cs="Arial"/>
                <w:sz w:val="22"/>
                <w:szCs w:val="22"/>
              </w:rPr>
              <w:t>Galbraith/Nadler-Tushman selected readings; OECD open resources.</w:t>
            </w:r>
          </w:p>
        </w:tc>
      </w:tr>
      <w:tr w:rsidR="00BD36D5" w:rsidRPr="002E7D23" w14:paraId="464383B5"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CAD413" w14:textId="77777777" w:rsidR="00A61905" w:rsidRPr="002E7D23" w:rsidRDefault="00000000">
            <w:pPr>
              <w:rPr>
                <w:rFonts w:ascii="Arial" w:hAnsi="Arial" w:cs="Arial"/>
                <w:sz w:val="22"/>
                <w:szCs w:val="22"/>
              </w:rPr>
            </w:pPr>
            <w:r w:rsidRPr="002E7D2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936CC2B" w14:textId="77777777" w:rsidR="00A61905" w:rsidRPr="002E7D23" w:rsidRDefault="00000000">
            <w:pPr>
              <w:rPr>
                <w:rFonts w:ascii="Arial" w:hAnsi="Arial" w:cs="Arial"/>
                <w:sz w:val="22"/>
                <w:szCs w:val="22"/>
              </w:rPr>
            </w:pPr>
            <w:r w:rsidRPr="002E7D23">
              <w:rPr>
                <w:rFonts w:ascii="Arial" w:hAnsi="Arial" w:cs="Arial"/>
                <w:sz w:val="22"/>
                <w:szCs w:val="22"/>
              </w:rPr>
              <w:t>Synchronous: alignment mapping workshop. Asynchronous: Week 2 quiz / Discussion forum #2</w:t>
            </w:r>
          </w:p>
        </w:tc>
      </w:tr>
      <w:tr w:rsidR="002E7D23" w:rsidRPr="002E7D23" w14:paraId="07F68D5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7209AC9"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8DED74E"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Designing for Change in Uncertain Environments</w:t>
            </w:r>
          </w:p>
        </w:tc>
      </w:tr>
      <w:tr w:rsidR="00950E24" w:rsidRPr="002E7D23" w14:paraId="5654FD00"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996A26" w14:textId="77777777" w:rsidR="00A61905" w:rsidRPr="002E7D23" w:rsidRDefault="00000000">
            <w:pPr>
              <w:rPr>
                <w:rFonts w:ascii="Arial" w:hAnsi="Arial" w:cs="Arial"/>
                <w:sz w:val="22"/>
                <w:szCs w:val="22"/>
              </w:rPr>
            </w:pPr>
            <w:r w:rsidRPr="002E7D2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89ECF9" w14:textId="77777777" w:rsidR="00A61905" w:rsidRPr="002E7D23" w:rsidRDefault="00000000">
            <w:pPr>
              <w:rPr>
                <w:rFonts w:ascii="Arial" w:hAnsi="Arial" w:cs="Arial"/>
                <w:sz w:val="22"/>
                <w:szCs w:val="22"/>
              </w:rPr>
            </w:pPr>
            <w:r w:rsidRPr="002E7D23">
              <w:rPr>
                <w:rFonts w:ascii="Arial" w:hAnsi="Arial" w:cs="Arial"/>
                <w:sz w:val="22"/>
                <w:szCs w:val="22"/>
              </w:rPr>
              <w:t>Changing markets, digital shifts, talent dynamics, and redesign options for adaptability</w:t>
            </w:r>
          </w:p>
        </w:tc>
      </w:tr>
      <w:tr w:rsidR="00950E24" w:rsidRPr="002E7D23" w14:paraId="21B80886"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57ABC19" w14:textId="77777777" w:rsidR="00A61905" w:rsidRPr="002E7D23" w:rsidRDefault="00000000">
            <w:pPr>
              <w:rPr>
                <w:rFonts w:ascii="Arial" w:hAnsi="Arial" w:cs="Arial"/>
                <w:sz w:val="22"/>
                <w:szCs w:val="22"/>
              </w:rPr>
            </w:pPr>
            <w:r w:rsidRPr="002E7D23">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08ECF6B" w14:textId="77777777" w:rsidR="00A61905" w:rsidRPr="002E7D23" w:rsidRDefault="00000000">
            <w:pPr>
              <w:rPr>
                <w:rFonts w:ascii="Arial" w:hAnsi="Arial" w:cs="Arial"/>
                <w:sz w:val="22"/>
                <w:szCs w:val="22"/>
              </w:rPr>
            </w:pPr>
            <w:r w:rsidRPr="002E7D23">
              <w:rPr>
                <w:rFonts w:ascii="Arial" w:hAnsi="Arial" w:cs="Arial"/>
                <w:sz w:val="22"/>
                <w:szCs w:val="22"/>
              </w:rPr>
              <w:t>Burke change framework; public case resources on transformation.</w:t>
            </w:r>
          </w:p>
        </w:tc>
      </w:tr>
      <w:tr w:rsidR="00950E24" w:rsidRPr="002E7D23" w14:paraId="7846B477"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C2BCF8D" w14:textId="77777777" w:rsidR="00A61905" w:rsidRPr="002E7D23" w:rsidRDefault="00000000">
            <w:pPr>
              <w:rPr>
                <w:rFonts w:ascii="Arial" w:hAnsi="Arial" w:cs="Arial"/>
                <w:sz w:val="22"/>
                <w:szCs w:val="22"/>
              </w:rPr>
            </w:pPr>
            <w:r w:rsidRPr="002E7D2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7C62A04" w14:textId="77777777" w:rsidR="00A61905" w:rsidRPr="002E7D23" w:rsidRDefault="00000000">
            <w:pPr>
              <w:rPr>
                <w:rFonts w:ascii="Arial" w:hAnsi="Arial" w:cs="Arial"/>
                <w:sz w:val="22"/>
                <w:szCs w:val="22"/>
              </w:rPr>
            </w:pPr>
            <w:r w:rsidRPr="002E7D23">
              <w:rPr>
                <w:rFonts w:ascii="Arial" w:hAnsi="Arial" w:cs="Arial"/>
                <w:sz w:val="22"/>
                <w:szCs w:val="22"/>
              </w:rPr>
              <w:t>Synchronous: redesign options lab. Asynchronous: Week 3 quiz / Discussion forum #3</w:t>
            </w:r>
          </w:p>
        </w:tc>
      </w:tr>
      <w:tr w:rsidR="002E7D23" w:rsidRPr="002E7D23" w14:paraId="39BDCBB5"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B863157"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1FB709"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Implementation Roadmaps and Stakeholder Adoption</w:t>
            </w:r>
          </w:p>
        </w:tc>
      </w:tr>
      <w:tr w:rsidR="00950E24" w:rsidRPr="002E7D23" w14:paraId="6B481605"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3CA6E9" w14:textId="77777777" w:rsidR="00A61905" w:rsidRPr="002E7D23" w:rsidRDefault="00000000">
            <w:pPr>
              <w:rPr>
                <w:rFonts w:ascii="Arial" w:hAnsi="Arial" w:cs="Arial"/>
                <w:sz w:val="22"/>
                <w:szCs w:val="22"/>
              </w:rPr>
            </w:pPr>
            <w:r w:rsidRPr="002E7D2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DC0F69" w14:textId="77777777" w:rsidR="00A61905" w:rsidRPr="002E7D23" w:rsidRDefault="00000000">
            <w:pPr>
              <w:rPr>
                <w:rFonts w:ascii="Arial" w:hAnsi="Arial" w:cs="Arial"/>
                <w:sz w:val="22"/>
                <w:szCs w:val="22"/>
              </w:rPr>
            </w:pPr>
            <w:r w:rsidRPr="002E7D23">
              <w:rPr>
                <w:rFonts w:ascii="Arial" w:hAnsi="Arial" w:cs="Arial"/>
                <w:sz w:val="22"/>
                <w:szCs w:val="22"/>
              </w:rPr>
              <w:t>Implementation sequencing, communication strategy, resistance management, and KPI setup</w:t>
            </w:r>
          </w:p>
        </w:tc>
      </w:tr>
      <w:tr w:rsidR="00950E24" w:rsidRPr="002E7D23" w14:paraId="2B2CCBCE"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4781A6B7" w14:textId="77777777" w:rsidR="00A61905" w:rsidRPr="002E7D23" w:rsidRDefault="00000000">
            <w:pPr>
              <w:rPr>
                <w:rFonts w:ascii="Arial" w:hAnsi="Arial" w:cs="Arial"/>
                <w:sz w:val="22"/>
                <w:szCs w:val="22"/>
              </w:rPr>
            </w:pPr>
            <w:r w:rsidRPr="002E7D23">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3E59FB5" w14:textId="77777777" w:rsidR="00A61905" w:rsidRPr="002E7D23" w:rsidRDefault="00000000">
            <w:pPr>
              <w:rPr>
                <w:rFonts w:ascii="Arial" w:hAnsi="Arial" w:cs="Arial"/>
                <w:sz w:val="22"/>
                <w:szCs w:val="22"/>
              </w:rPr>
            </w:pPr>
            <w:r w:rsidRPr="002E7D23">
              <w:rPr>
                <w:rFonts w:ascii="Arial" w:hAnsi="Arial" w:cs="Arial"/>
                <w:sz w:val="22"/>
                <w:szCs w:val="22"/>
              </w:rPr>
              <w:t>Open resources on implementation and change adoption; practitioner playbooks.</w:t>
            </w:r>
          </w:p>
        </w:tc>
      </w:tr>
      <w:tr w:rsidR="00950E24" w:rsidRPr="002E7D23" w14:paraId="502F43B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936AA3" w14:textId="77777777" w:rsidR="00A61905" w:rsidRPr="002E7D23" w:rsidRDefault="00000000">
            <w:pPr>
              <w:rPr>
                <w:rFonts w:ascii="Arial" w:hAnsi="Arial" w:cs="Arial"/>
                <w:sz w:val="22"/>
                <w:szCs w:val="22"/>
              </w:rPr>
            </w:pPr>
            <w:r w:rsidRPr="002E7D2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6ED005" w14:textId="77777777" w:rsidR="00A61905" w:rsidRPr="002E7D23" w:rsidRDefault="00000000">
            <w:pPr>
              <w:rPr>
                <w:rFonts w:ascii="Arial" w:hAnsi="Arial" w:cs="Arial"/>
                <w:sz w:val="22"/>
                <w:szCs w:val="22"/>
              </w:rPr>
            </w:pPr>
            <w:r w:rsidRPr="002E7D23">
              <w:rPr>
                <w:rFonts w:ascii="Arial" w:hAnsi="Arial" w:cs="Arial"/>
                <w:sz w:val="22"/>
                <w:szCs w:val="22"/>
              </w:rPr>
              <w:t>Synchronous: implementation planning clinic. Asynchronous: Week 4 quiz</w:t>
            </w:r>
          </w:p>
        </w:tc>
      </w:tr>
      <w:tr w:rsidR="002E7D23" w:rsidRPr="002E7D23" w14:paraId="70D95271"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04636B3"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0AD3BBB" w14:textId="77777777" w:rsidR="00A61905" w:rsidRPr="002E7D23" w:rsidRDefault="00000000">
            <w:pPr>
              <w:rPr>
                <w:rFonts w:ascii="Arial" w:hAnsi="Arial" w:cs="Arial"/>
                <w:b/>
                <w:bCs/>
                <w:color w:val="FFFFFF" w:themeColor="background1"/>
                <w:sz w:val="22"/>
                <w:szCs w:val="22"/>
              </w:rPr>
            </w:pPr>
            <w:r w:rsidRPr="002E7D23">
              <w:rPr>
                <w:rFonts w:ascii="Arial" w:hAnsi="Arial" w:cs="Arial"/>
                <w:b/>
                <w:bCs/>
                <w:color w:val="FFFFFF" w:themeColor="background1"/>
                <w:sz w:val="22"/>
                <w:szCs w:val="22"/>
              </w:rPr>
              <w:t>Executive Recommendation and Value Realization</w:t>
            </w:r>
          </w:p>
        </w:tc>
      </w:tr>
      <w:tr w:rsidR="003B266E" w:rsidRPr="002E7D23" w14:paraId="26C6AF47"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C3CAD43" w14:textId="77777777" w:rsidR="00A61905" w:rsidRPr="002E7D23" w:rsidRDefault="00000000">
            <w:pPr>
              <w:rPr>
                <w:rFonts w:ascii="Arial" w:hAnsi="Arial" w:cs="Arial"/>
                <w:sz w:val="22"/>
                <w:szCs w:val="22"/>
              </w:rPr>
            </w:pPr>
            <w:r w:rsidRPr="002E7D2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ECFD90E" w14:textId="77777777" w:rsidR="00A61905" w:rsidRPr="002E7D23" w:rsidRDefault="00000000">
            <w:pPr>
              <w:rPr>
                <w:rFonts w:ascii="Arial" w:hAnsi="Arial" w:cs="Arial"/>
                <w:sz w:val="22"/>
                <w:szCs w:val="22"/>
              </w:rPr>
            </w:pPr>
            <w:r w:rsidRPr="002E7D23">
              <w:rPr>
                <w:rFonts w:ascii="Arial" w:hAnsi="Arial" w:cs="Arial"/>
                <w:sz w:val="22"/>
                <w:szCs w:val="22"/>
              </w:rPr>
              <w:t>Recommendation packaging, executive communication, benefits tracking, and continuous improvement</w:t>
            </w:r>
          </w:p>
        </w:tc>
      </w:tr>
      <w:tr w:rsidR="003B266E" w:rsidRPr="002E7D23" w14:paraId="0B843886"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F3EEB52" w14:textId="77777777" w:rsidR="00A61905" w:rsidRPr="002E7D23" w:rsidRDefault="00000000">
            <w:pPr>
              <w:rPr>
                <w:rFonts w:ascii="Arial" w:hAnsi="Arial" w:cs="Arial"/>
                <w:sz w:val="22"/>
                <w:szCs w:val="22"/>
              </w:rPr>
            </w:pPr>
            <w:r w:rsidRPr="002E7D23">
              <w:rPr>
                <w:rFonts w:ascii="Arial" w:hAnsi="Arial" w:cs="Arial"/>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BD668EE" w14:textId="77777777" w:rsidR="00A61905" w:rsidRPr="002E7D23" w:rsidRDefault="00000000">
            <w:pPr>
              <w:rPr>
                <w:rFonts w:ascii="Arial" w:hAnsi="Arial" w:cs="Arial"/>
                <w:sz w:val="22"/>
                <w:szCs w:val="22"/>
              </w:rPr>
            </w:pPr>
            <w:r w:rsidRPr="002E7D23">
              <w:rPr>
                <w:rFonts w:ascii="Arial" w:hAnsi="Arial" w:cs="Arial"/>
                <w:sz w:val="22"/>
                <w:szCs w:val="22"/>
              </w:rPr>
              <w:t>Capstone synthesis package from assigned resources.</w:t>
            </w:r>
          </w:p>
        </w:tc>
      </w:tr>
      <w:tr w:rsidR="003B266E" w:rsidRPr="002E7D23" w14:paraId="04232B94"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19C9" w14:textId="77777777" w:rsidR="00A61905" w:rsidRPr="002E7D23" w:rsidRDefault="00000000">
            <w:pPr>
              <w:rPr>
                <w:rFonts w:ascii="Arial" w:hAnsi="Arial" w:cs="Arial"/>
                <w:sz w:val="22"/>
                <w:szCs w:val="22"/>
              </w:rPr>
            </w:pPr>
            <w:r w:rsidRPr="002E7D2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2DF1B32" w14:textId="77777777" w:rsidR="00A61905" w:rsidRPr="002E7D23" w:rsidRDefault="00000000">
            <w:pPr>
              <w:rPr>
                <w:rFonts w:ascii="Arial" w:hAnsi="Arial" w:cs="Arial"/>
                <w:sz w:val="22"/>
                <w:szCs w:val="22"/>
              </w:rPr>
            </w:pPr>
            <w:r w:rsidRPr="002E7D23">
              <w:rPr>
                <w:rFonts w:ascii="Arial" w:hAnsi="Arial" w:cs="Arial"/>
                <w:sz w:val="22"/>
                <w:szCs w:val="22"/>
              </w:rPr>
              <w:t>Synchronous: executive presentation. Asynchronous: final written submission</w:t>
            </w:r>
          </w:p>
        </w:tc>
      </w:tr>
    </w:tbl>
    <w:p w14:paraId="544B7B25" w14:textId="77777777" w:rsidR="002B3B0A" w:rsidRDefault="00146265">
      <w:pPr>
        <w:spacing w:before="120"/>
        <w:rPr>
          <w:rFonts w:ascii="Arial" w:hAnsi="Arial" w:cs="Arial"/>
        </w:rPr>
      </w:pPr>
      <w:r>
        <w:rPr>
          <w:rFonts w:ascii="Arial" w:hAnsi="Arial" w:cs="Arial"/>
        </w:rPr>
        <w:t xml:space="preserve"> </w:t>
      </w:r>
    </w:p>
    <w:p w14:paraId="6EC024FD" w14:textId="77777777" w:rsidR="00950E24" w:rsidRPr="00D3245C" w:rsidRDefault="00000000">
      <w:pPr>
        <w:pStyle w:val="Heading1"/>
        <w:rPr>
          <w:rFonts w:ascii="Arial" w:hAnsi="Arial" w:cs="Arial"/>
        </w:rPr>
      </w:pPr>
      <w:r w:rsidRPr="00D3245C">
        <w:rPr>
          <w:rFonts w:ascii="Arial" w:hAnsi="Arial" w:cs="Arial"/>
        </w:rPr>
        <w:t>6. ASSIGNMENT DESCRIPTIONS</w:t>
      </w:r>
    </w:p>
    <w:p w14:paraId="5C57E2FD"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32ABDF19"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069A9E19"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74AFDAA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1964340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342BBD3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0D07B3D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7B8A068E"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792A672D"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AC51145"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253481D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6A6720F3"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67FB6C"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5D251C59"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73BD726C"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45DB8F3F"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1313410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2548D"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2862891B"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67328927"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18C48DCA" w14:textId="77777777" w:rsidR="00950E24" w:rsidRPr="002E7D23" w:rsidRDefault="00000000">
      <w:pPr>
        <w:spacing w:before="120" w:after="60"/>
        <w:rPr>
          <w:rFonts w:ascii="Arial" w:hAnsi="Arial" w:cs="Arial"/>
          <w:sz w:val="22"/>
          <w:szCs w:val="22"/>
        </w:rPr>
      </w:pPr>
      <w:r w:rsidRPr="002E7D23">
        <w:rPr>
          <w:rFonts w:ascii="Arial" w:hAnsi="Arial" w:cs="Arial"/>
          <w:sz w:val="22"/>
          <w:szCs w:val="22"/>
        </w:rPr>
        <w:t>Objective: Encourage critical dialogue by applying consulting and organizational design concepts to strategic project alignment challenges.</w:t>
      </w:r>
    </w:p>
    <w:p w14:paraId="47803215" w14:textId="77777777" w:rsidR="00950E24" w:rsidRPr="002E7D23" w:rsidRDefault="00000000">
      <w:pPr>
        <w:spacing w:before="60" w:after="60"/>
        <w:rPr>
          <w:rFonts w:ascii="Arial" w:hAnsi="Arial" w:cs="Arial"/>
          <w:sz w:val="22"/>
          <w:szCs w:val="22"/>
        </w:rPr>
      </w:pPr>
      <w:r w:rsidRPr="002E7D23">
        <w:rPr>
          <w:rFonts w:ascii="Arial" w:eastAsia="Arial" w:hAnsi="Arial" w:cs="Arial"/>
          <w:b/>
          <w:bCs/>
          <w:sz w:val="22"/>
          <w:szCs w:val="22"/>
        </w:rPr>
        <w:t>Requirements (Three Discussion Forums):</w:t>
      </w:r>
    </w:p>
    <w:p w14:paraId="1C0E3635" w14:textId="77777777" w:rsidR="00F309E2" w:rsidRPr="002E7D23" w:rsidRDefault="00F309E2" w:rsidP="009E3A45">
      <w:pPr>
        <w:pStyle w:val="ListParagraph"/>
        <w:numPr>
          <w:ilvl w:val="0"/>
          <w:numId w:val="3"/>
        </w:numPr>
        <w:spacing w:before="40" w:after="40"/>
        <w:rPr>
          <w:rFonts w:ascii="Arial" w:hAnsi="Arial" w:cs="Arial"/>
          <w:sz w:val="22"/>
          <w:szCs w:val="22"/>
        </w:rPr>
      </w:pPr>
      <w:r w:rsidRPr="002E7D23">
        <w:rPr>
          <w:rFonts w:ascii="Arial" w:hAnsi="Arial" w:cs="Arial"/>
          <w:sz w:val="22"/>
          <w:szCs w:val="22"/>
        </w:rPr>
        <w:t>Forum 1 (Week 1): “What are the most common causes of organizational-project misalignment?”</w:t>
      </w:r>
    </w:p>
    <w:p w14:paraId="68425C47" w14:textId="77777777" w:rsidR="00950E24" w:rsidRPr="002E7D23" w:rsidRDefault="00000000">
      <w:pPr>
        <w:pStyle w:val="ListParagraph"/>
        <w:numPr>
          <w:ilvl w:val="0"/>
          <w:numId w:val="3"/>
        </w:numPr>
        <w:spacing w:before="40" w:after="40"/>
        <w:rPr>
          <w:rFonts w:ascii="Arial" w:hAnsi="Arial" w:cs="Arial"/>
          <w:sz w:val="22"/>
          <w:szCs w:val="22"/>
        </w:rPr>
      </w:pPr>
      <w:r w:rsidRPr="002E7D23">
        <w:rPr>
          <w:rFonts w:ascii="Arial" w:hAnsi="Arial" w:cs="Arial"/>
          <w:sz w:val="22"/>
          <w:szCs w:val="22"/>
        </w:rPr>
        <w:t>Forum 2 (Week 2): “How should organizations redesign roles and governance to improve strategy execution?”</w:t>
      </w:r>
    </w:p>
    <w:p w14:paraId="54DB0581" w14:textId="77777777" w:rsidR="00950E24" w:rsidRPr="002E7D23" w:rsidRDefault="00000000">
      <w:pPr>
        <w:pStyle w:val="ListParagraph"/>
        <w:numPr>
          <w:ilvl w:val="0"/>
          <w:numId w:val="3"/>
        </w:numPr>
        <w:spacing w:before="40" w:after="40"/>
        <w:rPr>
          <w:rFonts w:ascii="Arial" w:hAnsi="Arial" w:cs="Arial"/>
          <w:sz w:val="22"/>
          <w:szCs w:val="22"/>
        </w:rPr>
      </w:pPr>
      <w:r w:rsidRPr="002E7D23">
        <w:rPr>
          <w:rFonts w:ascii="Arial" w:hAnsi="Arial" w:cs="Arial"/>
          <w:sz w:val="22"/>
          <w:szCs w:val="22"/>
        </w:rPr>
        <w:t>Forum 3 (Week 3): “What organizational design choices best support adaptation in changing times?”</w:t>
      </w:r>
    </w:p>
    <w:p w14:paraId="716F0D69"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lastRenderedPageBreak/>
        <w:t>Each Forum Requires:</w:t>
      </w:r>
    </w:p>
    <w:p w14:paraId="4C627665"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7864E744"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52090F18"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4094DB11"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29A502BA"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3A667476"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078E9302"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03AA79CA"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3E0EE77D"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5CD38D96"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3AEB91E7"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7A491FA9"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625080F1"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456F82C7"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61F8F557"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26E8FDC6" w14:textId="77777777" w:rsidR="00950E24" w:rsidRPr="00D3245C" w:rsidRDefault="00000000">
      <w:pPr>
        <w:pStyle w:val="Heading2"/>
        <w:rPr>
          <w:rFonts w:ascii="Arial" w:hAnsi="Arial" w:cs="Arial"/>
        </w:rPr>
      </w:pPr>
      <w:r w:rsidRPr="00D3245C">
        <w:rPr>
          <w:rFonts w:ascii="Arial" w:hAnsi="Arial" w:cs="Arial"/>
        </w:rPr>
        <w:t>7.1 Project Overview</w:t>
      </w:r>
    </w:p>
    <w:p w14:paraId="535C4F5F" w14:textId="77777777" w:rsidR="0010775D" w:rsidRPr="000A0BCD" w:rsidRDefault="0012616C">
      <w:pPr>
        <w:spacing w:before="120" w:after="120"/>
        <w:rPr>
          <w:rFonts w:ascii="Arial" w:eastAsia="Arial" w:hAnsi="Arial" w:cs="Arial"/>
          <w:sz w:val="24"/>
          <w:szCs w:val="24"/>
        </w:rPr>
      </w:pPr>
      <w:r w:rsidRPr="000A0BCD">
        <w:rPr>
          <w:rFonts w:ascii="Arial" w:hAnsi="Arial" w:cs="Arial"/>
          <w:sz w:val="22"/>
          <w:szCs w:val="22"/>
        </w:rPr>
        <w:t>Students will develop an Organizational Consulting Strategy Pack for a selected organization, including diagnostic findings, redesign recommendations, implementation roadmap, and KPI framework for project alignment and value realization.</w:t>
      </w:r>
    </w:p>
    <w:p w14:paraId="07EAA65E" w14:textId="77777777" w:rsidR="00950E24" w:rsidRPr="00D3245C" w:rsidRDefault="00000000">
      <w:pPr>
        <w:pStyle w:val="Heading2"/>
        <w:rPr>
          <w:rFonts w:ascii="Arial" w:hAnsi="Arial" w:cs="Arial"/>
        </w:rPr>
      </w:pPr>
      <w:r w:rsidRPr="00D3245C">
        <w:rPr>
          <w:rFonts w:ascii="Arial" w:hAnsi="Arial" w:cs="Arial"/>
        </w:rPr>
        <w:t>7.2 Learning Outcomes Addressed</w:t>
      </w:r>
    </w:p>
    <w:p w14:paraId="393B80EC" w14:textId="77777777" w:rsidR="00B5380E" w:rsidRPr="000A0BCD" w:rsidRDefault="00B5380E">
      <w:pPr>
        <w:pStyle w:val="ListParagraph"/>
        <w:numPr>
          <w:ilvl w:val="0"/>
          <w:numId w:val="3"/>
        </w:numPr>
        <w:spacing w:before="60" w:after="40"/>
        <w:rPr>
          <w:rFonts w:ascii="Arial" w:hAnsi="Arial" w:cs="Arial"/>
          <w:sz w:val="22"/>
          <w:szCs w:val="22"/>
        </w:rPr>
      </w:pPr>
      <w:r w:rsidRPr="000A0BCD">
        <w:rPr>
          <w:rFonts w:ascii="Arial" w:hAnsi="Arial" w:cs="Arial"/>
          <w:sz w:val="22"/>
          <w:szCs w:val="22"/>
        </w:rPr>
        <w:t>LO1: Analyze organizational design elements and project impact.</w:t>
      </w:r>
    </w:p>
    <w:p w14:paraId="3ACDAB96" w14:textId="77777777" w:rsidR="00F0584F" w:rsidRPr="000A0BCD" w:rsidRDefault="00B5380E" w:rsidP="00F0584F">
      <w:pPr>
        <w:pStyle w:val="ListParagraph"/>
        <w:numPr>
          <w:ilvl w:val="0"/>
          <w:numId w:val="3"/>
        </w:numPr>
        <w:spacing w:before="60" w:after="40"/>
        <w:rPr>
          <w:rFonts w:ascii="Arial" w:hAnsi="Arial" w:cs="Arial"/>
          <w:sz w:val="22"/>
          <w:szCs w:val="22"/>
        </w:rPr>
      </w:pPr>
      <w:r w:rsidRPr="000A0BCD">
        <w:rPr>
          <w:rFonts w:ascii="Arial" w:hAnsi="Arial" w:cs="Arial"/>
          <w:sz w:val="22"/>
          <w:szCs w:val="22"/>
        </w:rPr>
        <w:t>LO2: Evaluate strategic alignment between business goals and project priorities.</w:t>
      </w:r>
    </w:p>
    <w:p w14:paraId="7F3C68C3" w14:textId="77777777" w:rsidR="00B5380E" w:rsidRPr="000A0BCD" w:rsidRDefault="00B5380E" w:rsidP="00B5380E">
      <w:pPr>
        <w:pStyle w:val="ListParagraph"/>
        <w:numPr>
          <w:ilvl w:val="0"/>
          <w:numId w:val="3"/>
        </w:numPr>
        <w:spacing w:before="60" w:after="40"/>
        <w:rPr>
          <w:rFonts w:ascii="Arial" w:hAnsi="Arial" w:cs="Arial"/>
          <w:sz w:val="22"/>
          <w:szCs w:val="22"/>
        </w:rPr>
      </w:pPr>
      <w:r w:rsidRPr="000A0BCD">
        <w:rPr>
          <w:rFonts w:ascii="Arial" w:hAnsi="Arial" w:cs="Arial"/>
          <w:sz w:val="22"/>
          <w:szCs w:val="22"/>
        </w:rPr>
        <w:t>LO3: Develop consulting-based diagnostic and recommendation framework.</w:t>
      </w:r>
    </w:p>
    <w:p w14:paraId="4B8C07C9" w14:textId="77777777" w:rsidR="00893901" w:rsidRDefault="00B5380E" w:rsidP="00893901">
      <w:pPr>
        <w:pStyle w:val="ListParagraph"/>
        <w:numPr>
          <w:ilvl w:val="0"/>
          <w:numId w:val="3"/>
        </w:numPr>
        <w:spacing w:before="60" w:after="40"/>
        <w:rPr>
          <w:rFonts w:ascii="Arial" w:hAnsi="Arial" w:cs="Arial"/>
          <w:sz w:val="22"/>
          <w:szCs w:val="22"/>
        </w:rPr>
      </w:pPr>
      <w:r w:rsidRPr="000A0BCD">
        <w:rPr>
          <w:rFonts w:ascii="Arial" w:hAnsi="Arial" w:cs="Arial"/>
          <w:sz w:val="22"/>
          <w:szCs w:val="22"/>
        </w:rPr>
        <w:t>LO4: Examine change drivers and redesign implications.</w:t>
      </w:r>
    </w:p>
    <w:p w14:paraId="4B89C458" w14:textId="0668B323" w:rsidR="007B3CD9" w:rsidRDefault="007B3CD9" w:rsidP="00893901">
      <w:pPr>
        <w:pStyle w:val="ListParagraph"/>
        <w:numPr>
          <w:ilvl w:val="0"/>
          <w:numId w:val="3"/>
        </w:numPr>
        <w:spacing w:before="60" w:after="40"/>
        <w:rPr>
          <w:rFonts w:ascii="Arial" w:hAnsi="Arial" w:cs="Arial"/>
          <w:sz w:val="22"/>
          <w:szCs w:val="22"/>
        </w:rPr>
      </w:pPr>
      <w:r>
        <w:rPr>
          <w:rFonts w:ascii="Arial" w:hAnsi="Arial" w:cs="Arial"/>
          <w:sz w:val="22"/>
          <w:szCs w:val="22"/>
        </w:rPr>
        <w:t xml:space="preserve">LO5: Design stakeholder engagement and change communication strategy. </w:t>
      </w:r>
    </w:p>
    <w:p w14:paraId="7CACB54A" w14:textId="364CAC22" w:rsidR="007B3CD9" w:rsidRPr="000A0BCD" w:rsidRDefault="007B3CD9" w:rsidP="00893901">
      <w:pPr>
        <w:pStyle w:val="ListParagraph"/>
        <w:numPr>
          <w:ilvl w:val="0"/>
          <w:numId w:val="3"/>
        </w:numPr>
        <w:spacing w:before="60" w:after="40"/>
        <w:rPr>
          <w:rFonts w:ascii="Arial" w:hAnsi="Arial" w:cs="Arial"/>
          <w:sz w:val="22"/>
          <w:szCs w:val="22"/>
        </w:rPr>
      </w:pPr>
      <w:r>
        <w:rPr>
          <w:rFonts w:ascii="Arial" w:hAnsi="Arial" w:cs="Arial"/>
          <w:sz w:val="22"/>
          <w:szCs w:val="22"/>
        </w:rPr>
        <w:t xml:space="preserve">LO6: </w:t>
      </w:r>
      <w:r w:rsidR="00E42AAD">
        <w:rPr>
          <w:rFonts w:ascii="Arial" w:hAnsi="Arial" w:cs="Arial"/>
          <w:sz w:val="22"/>
          <w:szCs w:val="22"/>
        </w:rPr>
        <w:t xml:space="preserve">Assess implementation KPIs and recommend improvements. </w:t>
      </w:r>
    </w:p>
    <w:p w14:paraId="798D3099" w14:textId="1DA832AC" w:rsidR="007B3CD9" w:rsidRPr="00D3245C" w:rsidRDefault="007B3CD9" w:rsidP="007B3CD9">
      <w:pPr>
        <w:pStyle w:val="Heading2"/>
        <w:rPr>
          <w:rFonts w:ascii="Arial" w:hAnsi="Arial" w:cs="Arial"/>
        </w:rPr>
      </w:pPr>
      <w:r w:rsidRPr="00D3245C">
        <w:rPr>
          <w:rFonts w:ascii="Arial" w:hAnsi="Arial" w:cs="Arial"/>
        </w:rPr>
        <w:t>7.</w:t>
      </w:r>
      <w:r>
        <w:rPr>
          <w:rFonts w:ascii="Arial" w:hAnsi="Arial" w:cs="Arial"/>
        </w:rPr>
        <w:t>3</w:t>
      </w:r>
      <w:r w:rsidRPr="00D3245C">
        <w:rPr>
          <w:rFonts w:ascii="Arial" w:hAnsi="Arial" w:cs="Arial"/>
        </w:rPr>
        <w:t xml:space="preserve"> </w:t>
      </w:r>
      <w:r>
        <w:rPr>
          <w:rFonts w:ascii="Arial" w:hAnsi="Arial" w:cs="Arial"/>
        </w:rPr>
        <w:t>scenario context</w:t>
      </w:r>
    </w:p>
    <w:p w14:paraId="28C49D18" w14:textId="77777777" w:rsidR="00607F4E" w:rsidRPr="007B3CD9" w:rsidRDefault="00607F4E">
      <w:pPr>
        <w:spacing w:before="120" w:after="120"/>
        <w:rPr>
          <w:rFonts w:ascii="Arial" w:eastAsia="Arial" w:hAnsi="Arial" w:cs="Arial"/>
          <w:sz w:val="22"/>
          <w:szCs w:val="22"/>
        </w:rPr>
      </w:pPr>
      <w:r w:rsidRPr="007B3CD9">
        <w:rPr>
          <w:rFonts w:ascii="Arial" w:hAnsi="Arial" w:cs="Arial"/>
          <w:sz w:val="22"/>
          <w:szCs w:val="22"/>
        </w:rPr>
        <w:t>You are advising a mid-sized organization whose projects are underperforming due to unclear accountabilities, fragmented governance, and weak alignment with business goals. Leadership needs a practical redesign strategy that improves execution discipline while enabling adaptation to changing market conditions.</w:t>
      </w:r>
    </w:p>
    <w:p w14:paraId="0885BE44" w14:textId="0DD290D1" w:rsidR="007B3CD9" w:rsidRPr="00D3245C" w:rsidRDefault="007B3CD9" w:rsidP="007B3CD9">
      <w:pPr>
        <w:pStyle w:val="Heading2"/>
        <w:rPr>
          <w:rFonts w:ascii="Arial" w:hAnsi="Arial" w:cs="Arial"/>
        </w:rPr>
      </w:pPr>
      <w:r w:rsidRPr="00D3245C">
        <w:rPr>
          <w:rFonts w:ascii="Arial" w:hAnsi="Arial" w:cs="Arial"/>
        </w:rPr>
        <w:t>7.</w:t>
      </w:r>
      <w:r>
        <w:rPr>
          <w:rFonts w:ascii="Arial" w:hAnsi="Arial" w:cs="Arial"/>
        </w:rPr>
        <w:t>4</w:t>
      </w:r>
      <w:r w:rsidRPr="00D3245C">
        <w:rPr>
          <w:rFonts w:ascii="Arial" w:hAnsi="Arial" w:cs="Arial"/>
        </w:rPr>
        <w:t xml:space="preserve"> </w:t>
      </w:r>
      <w:r>
        <w:rPr>
          <w:rFonts w:ascii="Arial" w:hAnsi="Arial" w:cs="Arial"/>
        </w:rPr>
        <w:t xml:space="preserve">project deliverables &amp; requirements  </w:t>
      </w:r>
    </w:p>
    <w:p w14:paraId="29C0E321" w14:textId="77777777" w:rsidR="00A94044" w:rsidRPr="007B3CD9" w:rsidRDefault="00B1330D">
      <w:pPr>
        <w:spacing w:before="120" w:after="120"/>
        <w:rPr>
          <w:rFonts w:ascii="Arial" w:eastAsia="Arial" w:hAnsi="Arial" w:cs="Arial"/>
          <w:sz w:val="24"/>
          <w:szCs w:val="24"/>
        </w:rPr>
      </w:pPr>
      <w:r w:rsidRPr="007B3CD9">
        <w:rPr>
          <w:rFonts w:ascii="Arial" w:hAnsi="Arial" w:cs="Arial"/>
          <w:sz w:val="22"/>
          <w:szCs w:val="22"/>
        </w:rPr>
        <w:t>Part 1: Executive brief written report (1,200 – 1,500 words)</w:t>
      </w:r>
    </w:p>
    <w:p w14:paraId="67D6338A" w14:textId="77777777" w:rsidR="00ED2684" w:rsidRPr="007B3CD9" w:rsidRDefault="00A94044">
      <w:pPr>
        <w:spacing w:before="120" w:after="120"/>
        <w:rPr>
          <w:rFonts w:ascii="Arial" w:eastAsia="Arial" w:hAnsi="Arial" w:cs="Arial"/>
          <w:sz w:val="24"/>
          <w:szCs w:val="24"/>
        </w:rPr>
      </w:pPr>
      <w:r w:rsidRPr="007B3CD9">
        <w:rPr>
          <w:rFonts w:ascii="Arial" w:hAnsi="Arial" w:cs="Arial"/>
          <w:sz w:val="22"/>
          <w:szCs w:val="22"/>
        </w:rPr>
        <w:lastRenderedPageBreak/>
        <w:t>Part 2: Final organizational consulting strategy plan written report (2,000 – 2,500 words)</w:t>
      </w:r>
    </w:p>
    <w:p w14:paraId="1F842B12" w14:textId="77777777" w:rsidR="009A5C86" w:rsidRPr="007B3CD9" w:rsidRDefault="003B4570">
      <w:pPr>
        <w:spacing w:before="120" w:after="120"/>
        <w:rPr>
          <w:rFonts w:ascii="Arial" w:eastAsia="Arial" w:hAnsi="Arial" w:cs="Arial"/>
          <w:sz w:val="24"/>
          <w:szCs w:val="24"/>
        </w:rPr>
      </w:pPr>
      <w:r w:rsidRPr="007B3CD9">
        <w:rPr>
          <w:rFonts w:ascii="Arial" w:hAnsi="Arial" w:cs="Arial"/>
          <w:sz w:val="22"/>
          <w:szCs w:val="22"/>
        </w:rPr>
        <w:t>Part 3: Executive presentation (12–15 minutes + Q&amp;A)</w:t>
      </w:r>
    </w:p>
    <w:p w14:paraId="1589DAA1" w14:textId="77777777" w:rsidR="00950E24" w:rsidRPr="00210334" w:rsidRDefault="00000000">
      <w:pPr>
        <w:pStyle w:val="ListParagraph"/>
        <w:numPr>
          <w:ilvl w:val="0"/>
          <w:numId w:val="3"/>
        </w:numPr>
        <w:spacing w:before="40" w:after="40"/>
        <w:rPr>
          <w:rFonts w:ascii="Arial" w:hAnsi="Arial" w:cs="Arial"/>
        </w:rPr>
      </w:pPr>
      <w:r w:rsidRPr="00210334">
        <w:rPr>
          <w:rFonts w:ascii="Arial" w:eastAsia="Arial" w:hAnsi="Arial" w:cs="Arial"/>
          <w:sz w:val="22"/>
          <w:szCs w:val="22"/>
        </w:rPr>
        <w:t>Professional slide deck (12-15 slides maximum)</w:t>
      </w:r>
    </w:p>
    <w:p w14:paraId="64950BF5" w14:textId="77777777" w:rsidR="00950E24" w:rsidRPr="00210334" w:rsidRDefault="00000000">
      <w:pPr>
        <w:pStyle w:val="ListParagraph"/>
        <w:numPr>
          <w:ilvl w:val="0"/>
          <w:numId w:val="3"/>
        </w:numPr>
        <w:spacing w:before="40" w:after="40"/>
        <w:rPr>
          <w:rFonts w:ascii="Arial" w:hAnsi="Arial" w:cs="Arial"/>
        </w:rPr>
      </w:pPr>
      <w:r w:rsidRPr="00210334">
        <w:rPr>
          <w:rFonts w:ascii="Arial" w:eastAsia="Arial" w:hAnsi="Arial" w:cs="Arial"/>
          <w:sz w:val="22"/>
          <w:szCs w:val="22"/>
        </w:rPr>
        <w:t>Clear articulation of key strategic decisions</w:t>
      </w:r>
    </w:p>
    <w:p w14:paraId="44F89C0E" w14:textId="77777777" w:rsidR="00950E24" w:rsidRPr="00210334" w:rsidRDefault="00000000">
      <w:pPr>
        <w:pStyle w:val="ListParagraph"/>
        <w:numPr>
          <w:ilvl w:val="0"/>
          <w:numId w:val="3"/>
        </w:numPr>
        <w:spacing w:before="40" w:after="40"/>
        <w:rPr>
          <w:rFonts w:ascii="Arial" w:hAnsi="Arial" w:cs="Arial"/>
        </w:rPr>
      </w:pPr>
      <w:r w:rsidRPr="00210334">
        <w:rPr>
          <w:rFonts w:ascii="Arial" w:eastAsia="Arial" w:hAnsi="Arial" w:cs="Arial"/>
          <w:sz w:val="22"/>
          <w:szCs w:val="22"/>
        </w:rPr>
        <w:t>Ability to respond to questions about implementation</w:t>
      </w:r>
    </w:p>
    <w:p w14:paraId="1087AE10" w14:textId="77777777" w:rsidR="00950E24" w:rsidRPr="00210334" w:rsidRDefault="00000000">
      <w:pPr>
        <w:pStyle w:val="ListParagraph"/>
        <w:numPr>
          <w:ilvl w:val="0"/>
          <w:numId w:val="3"/>
        </w:numPr>
        <w:spacing w:before="40" w:after="40"/>
        <w:rPr>
          <w:rFonts w:ascii="Arial" w:hAnsi="Arial" w:cs="Arial"/>
        </w:rPr>
      </w:pPr>
      <w:r w:rsidRPr="00210334">
        <w:rPr>
          <w:rFonts w:ascii="Arial" w:eastAsia="Arial" w:hAnsi="Arial" w:cs="Arial"/>
          <w:sz w:val="22"/>
          <w:szCs w:val="22"/>
        </w:rPr>
        <w:t>Professional presentation delivery</w:t>
      </w:r>
    </w:p>
    <w:p w14:paraId="402D61A5"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2807DBDF"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508AC73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770859B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1666ED85" w14:textId="77777777" w:rsidR="00950E24" w:rsidRPr="00D3245C" w:rsidRDefault="00000000">
      <w:pPr>
        <w:pStyle w:val="Heading1"/>
        <w:rPr>
          <w:rFonts w:ascii="Arial" w:hAnsi="Arial" w:cs="Arial"/>
        </w:rPr>
      </w:pPr>
      <w:r w:rsidRPr="00D3245C">
        <w:rPr>
          <w:rFonts w:ascii="Arial" w:hAnsi="Arial" w:cs="Arial"/>
        </w:rPr>
        <w:t>8. ASSESSMENT RUBRICS</w:t>
      </w:r>
    </w:p>
    <w:p w14:paraId="05B2BC98"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43E03D48"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F9CC5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E2002A2"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D11FE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65AAC49"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2F903CB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B7539C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B365B3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F56113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8F4563"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0C9BD11F"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50B23D3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0E2841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6CF1AFB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EEF892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166E6116"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D2F60E2"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65A9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32D8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E98721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95D119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2782A1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6F48216"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5659DA35"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0DA47E3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7A8BD69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61B3E59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4D7C05E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29FB8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30A8C9F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1585483E"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15014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DF4C26"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792699"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CA786D"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57AB3F4"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F5686FC"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35312C12"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40FC14A1"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A747532"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0C0E405"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22F85A0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CA27997"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01F4E6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C108AC1"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1A8025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6E1FD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CC948D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53D02613"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21B04AFE"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0339B856" w14:textId="77777777" w:rsidR="008C32CF" w:rsidRDefault="008C32CF" w:rsidP="00AB3B7B">
            <w:pPr>
              <w:spacing w:before="60" w:after="60"/>
              <w:rPr>
                <w:rFonts w:ascii="Arial" w:hAnsi="Arial" w:cs="Arial"/>
              </w:rPr>
            </w:pPr>
            <w:r>
              <w:rPr>
                <w:rFonts w:ascii="Arial" w:hAnsi="Arial" w:cs="Arial"/>
              </w:rPr>
              <w:t>- Concepts or tools is focused.</w:t>
            </w:r>
          </w:p>
          <w:p w14:paraId="58616859" w14:textId="77777777" w:rsidR="008C32CF" w:rsidRDefault="008C32CF" w:rsidP="00AB3B7B">
            <w:pPr>
              <w:spacing w:before="60" w:after="60"/>
              <w:rPr>
                <w:rFonts w:ascii="Arial" w:hAnsi="Arial" w:cs="Arial"/>
              </w:rPr>
            </w:pPr>
            <w:r>
              <w:rPr>
                <w:rFonts w:ascii="Arial" w:hAnsi="Arial" w:cs="Arial"/>
              </w:rPr>
              <w:lastRenderedPageBreak/>
              <w:t xml:space="preserve">- Subject is comprehensive. </w:t>
            </w:r>
          </w:p>
          <w:p w14:paraId="2BED0583"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3EF941A4"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lastRenderedPageBreak/>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 xml:space="preserve">comprehensive,  </w:t>
            </w:r>
            <w:r>
              <w:rPr>
                <w:rFonts w:ascii="Arial" w:hAnsi="Arial" w:cs="Arial"/>
                <w:sz w:val="18"/>
                <w:szCs w:val="18"/>
              </w:rPr>
              <w:lastRenderedPageBreak/>
              <w:t>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7B57FC41"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t>
            </w:r>
            <w:r>
              <w:rPr>
                <w:rFonts w:ascii="Arial" w:hAnsi="Arial" w:cs="Arial"/>
                <w:sz w:val="18"/>
                <w:szCs w:val="18"/>
              </w:rPr>
              <w:lastRenderedPageBreak/>
              <w:t xml:space="preserve">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797534FB"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 xml:space="preserve">lacks  </w:t>
            </w:r>
            <w:r>
              <w:rPr>
                <w:rFonts w:ascii="Arial" w:hAnsi="Arial" w:cs="Arial"/>
                <w:sz w:val="18"/>
                <w:szCs w:val="18"/>
              </w:rPr>
              <w:lastRenderedPageBreak/>
              <w:t>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07E8CA1"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w:t>
            </w:r>
            <w:r>
              <w:rPr>
                <w:rFonts w:ascii="Arial" w:hAnsi="Arial" w:cs="Arial"/>
                <w:sz w:val="18"/>
                <w:szCs w:val="18"/>
              </w:rPr>
              <w:lastRenderedPageBreak/>
              <w:t xml:space="preserve">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31E5B15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lastRenderedPageBreak/>
              <w:t>/</w:t>
            </w:r>
            <w:r w:rsidR="003A3C72">
              <w:rPr>
                <w:rFonts w:ascii="Arial" w:eastAsia="Arial" w:hAnsi="Arial" w:cs="Arial"/>
                <w:color w:val="000000"/>
                <w:sz w:val="22"/>
                <w:szCs w:val="22"/>
              </w:rPr>
              <w:t>45</w:t>
            </w:r>
          </w:p>
        </w:tc>
      </w:tr>
      <w:tr w:rsidR="008C32CF" w:rsidRPr="00D3245C" w14:paraId="48347859"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5182D6"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19154714"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60547D24"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451B4BB"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8F3DED"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479EB1"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59FADDC"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9DDCEA8"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4DAEB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04146386"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1FF9CE51"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4D6CC70D"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611D1E74"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35263516"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5CF6AE1"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51440411"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95CE135"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B3890B6"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11D042E4"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3AB12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AAAB6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17DD1B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2E3A19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1BBE4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2A4CC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3D6FBC03"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7DA2F213"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6F2DCD84"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4B3242A7"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6233EAB1"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7CBF62F6"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55446F54"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028C9869"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15180B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BF950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EC57082"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77A0DD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0717FB8"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1D3D79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A6844A8"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6D1EC24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00EF1E8"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8633768"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1E6191F8"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EC42148"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753DAC7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A0DF48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646A81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64F4677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Content </w:t>
            </w:r>
            <w:proofErr w:type="gramStart"/>
            <w:r w:rsidRPr="00D3245C">
              <w:rPr>
                <w:rFonts w:ascii="Arial" w:eastAsia="Arial" w:hAnsi="Arial" w:cs="Arial"/>
                <w:color w:val="000000"/>
                <w:sz w:val="18"/>
                <w:szCs w:val="18"/>
              </w:rPr>
              <w:t>unclear</w:t>
            </w:r>
            <w:proofErr w:type="gramEnd"/>
            <w:r w:rsidRPr="00D3245C">
              <w:rPr>
                <w:rFonts w:ascii="Arial" w:eastAsia="Arial" w:hAnsi="Arial" w:cs="Arial"/>
                <w:color w:val="000000"/>
                <w:sz w:val="18"/>
                <w:szCs w:val="18"/>
              </w:rPr>
              <w:t>;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0F32793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60F6AD30"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29A027"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F1AF7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DE5440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6F3AE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34580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22251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639BB135"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725EFA9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40C0E2E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Confident, engaging delivery; excellent eye </w:t>
            </w:r>
            <w:r w:rsidRPr="00D3245C">
              <w:rPr>
                <w:rFonts w:ascii="Arial" w:eastAsia="Arial" w:hAnsi="Arial" w:cs="Arial"/>
                <w:color w:val="000000"/>
                <w:sz w:val="18"/>
                <w:szCs w:val="18"/>
              </w:rPr>
              <w:lastRenderedPageBreak/>
              <w:t>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42CE770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05B9856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393FF1A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652550D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2B7D9320"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6EA1B5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26BCD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26F90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2BECC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27CF3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460013"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6916B71"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B81EB46"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122B9C32"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E13F3BF"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4E7AA819"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28FAC62"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6CD51B9E"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53D3AF62" w14:textId="77777777" w:rsidR="00950E24" w:rsidRPr="00D3245C" w:rsidRDefault="00000000">
      <w:pPr>
        <w:pStyle w:val="Heading1"/>
        <w:rPr>
          <w:rFonts w:ascii="Arial" w:hAnsi="Arial" w:cs="Arial"/>
        </w:rPr>
      </w:pPr>
      <w:r w:rsidRPr="00D3245C">
        <w:rPr>
          <w:rFonts w:ascii="Arial" w:hAnsi="Arial" w:cs="Arial"/>
        </w:rPr>
        <w:t>9. COURSE POLICIES</w:t>
      </w:r>
    </w:p>
    <w:p w14:paraId="7AFC1A90"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34940FF5"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2F34F768" w14:textId="77777777" w:rsidR="00950E24" w:rsidRPr="00D3245C" w:rsidRDefault="00000000">
      <w:pPr>
        <w:pStyle w:val="Heading2"/>
        <w:rPr>
          <w:rFonts w:ascii="Arial" w:hAnsi="Arial" w:cs="Arial"/>
        </w:rPr>
      </w:pPr>
      <w:r w:rsidRPr="00D3245C">
        <w:rPr>
          <w:rFonts w:ascii="Arial" w:hAnsi="Arial" w:cs="Arial"/>
        </w:rPr>
        <w:t>9.2 Late Submission Policy</w:t>
      </w:r>
    </w:p>
    <w:p w14:paraId="1E041C9C"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1ECA5F9F" w14:textId="77777777" w:rsidR="00950E24" w:rsidRPr="00D3245C" w:rsidRDefault="00000000">
      <w:pPr>
        <w:pStyle w:val="Heading2"/>
        <w:rPr>
          <w:rFonts w:ascii="Arial" w:hAnsi="Arial" w:cs="Arial"/>
        </w:rPr>
      </w:pPr>
      <w:r w:rsidRPr="00D3245C">
        <w:rPr>
          <w:rFonts w:ascii="Arial" w:hAnsi="Arial" w:cs="Arial"/>
        </w:rPr>
        <w:t>9.3 Academic Integrity</w:t>
      </w:r>
    </w:p>
    <w:p w14:paraId="54C30D29"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59DCB2C9"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02C3C182"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2AE34EB3" w14:textId="77777777" w:rsidR="00950E24" w:rsidRPr="00D3245C" w:rsidRDefault="00000000">
      <w:pPr>
        <w:pStyle w:val="Heading2"/>
        <w:rPr>
          <w:rFonts w:ascii="Arial" w:hAnsi="Arial" w:cs="Arial"/>
        </w:rPr>
      </w:pPr>
      <w:r w:rsidRPr="00D3245C">
        <w:rPr>
          <w:rFonts w:ascii="Arial" w:hAnsi="Arial" w:cs="Arial"/>
        </w:rPr>
        <w:t>9.5 Communication Policy</w:t>
      </w:r>
    </w:p>
    <w:p w14:paraId="6D4F04E4" w14:textId="77777777" w:rsidR="00C26B4B" w:rsidRDefault="00E6712C">
      <w:pPr>
        <w:spacing w:before="120" w:after="60"/>
        <w:rPr>
          <w:rFonts w:ascii="Arial" w:eastAsia="Arial" w:hAnsi="Arial" w:cs="Arial"/>
          <w:sz w:val="22"/>
          <w:szCs w:val="22"/>
        </w:rPr>
      </w:pPr>
      <w:r>
        <w:rPr>
          <w:rFonts w:ascii="Arial" w:eastAsia="Arial" w:hAnsi="Arial" w:cs="Arial"/>
          <w:sz w:val="22"/>
          <w:szCs w:val="22"/>
        </w:rPr>
        <w:lastRenderedPageBreak/>
        <w:t xml:space="preserve">Professors will respond to students’ inquiries and assignments in a timely fashion. Students should check their emails and the learning portal regularly for the updates. Consult with your professor if any clarification is needed.  </w:t>
      </w:r>
    </w:p>
    <w:p w14:paraId="0B7B83D6"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1C7D5687"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0F6D2BD9"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6A37DD26"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7C2BF948"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3E073060"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34D79809" w14:textId="77777777" w:rsidR="00950E24" w:rsidRPr="00D3245C" w:rsidRDefault="00000000">
      <w:pPr>
        <w:pStyle w:val="Heading1"/>
        <w:rPr>
          <w:rFonts w:ascii="Arial" w:hAnsi="Arial" w:cs="Arial"/>
        </w:rPr>
      </w:pPr>
      <w:r w:rsidRPr="00D3245C">
        <w:rPr>
          <w:rFonts w:ascii="Arial" w:hAnsi="Arial" w:cs="Arial"/>
        </w:rPr>
        <w:t>10. ADDITIONAL RESOURCES</w:t>
      </w:r>
    </w:p>
    <w:p w14:paraId="4DF05DD9" w14:textId="77777777" w:rsidR="00950E24" w:rsidRPr="00D3245C" w:rsidRDefault="00000000">
      <w:pPr>
        <w:pStyle w:val="Heading2"/>
        <w:rPr>
          <w:rFonts w:ascii="Arial" w:hAnsi="Arial" w:cs="Arial"/>
        </w:rPr>
      </w:pPr>
      <w:r w:rsidRPr="00D3245C">
        <w:rPr>
          <w:rFonts w:ascii="Arial" w:hAnsi="Arial" w:cs="Arial"/>
        </w:rPr>
        <w:t>10.1 Academic Support</w:t>
      </w:r>
    </w:p>
    <w:p w14:paraId="194D19BD"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DE11B3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7FDDBF4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78FF1C3E"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6DEB6BA2"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7B8D2274"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706FBF0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0A00C91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5B2E29FA"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150D3A62" w14:textId="77777777" w:rsidR="00950E24" w:rsidRPr="00D3245C" w:rsidRDefault="00000000">
      <w:pPr>
        <w:pStyle w:val="Heading1"/>
        <w:rPr>
          <w:rFonts w:ascii="Arial" w:hAnsi="Arial" w:cs="Arial"/>
        </w:rPr>
      </w:pPr>
      <w:r w:rsidRPr="00D3245C">
        <w:rPr>
          <w:rFonts w:ascii="Arial" w:hAnsi="Arial" w:cs="Arial"/>
        </w:rPr>
        <w:t>11. SYLLABUS DISCLAIMER</w:t>
      </w:r>
    </w:p>
    <w:p w14:paraId="37857DEB"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73C82AE"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076E0CAE"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lastRenderedPageBreak/>
        <w:t>This syllabus is subject to change. Students will be notified of any modifications.</w:t>
      </w:r>
    </w:p>
    <w:p w14:paraId="23E91CEB"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5C32" w14:textId="77777777" w:rsidR="001509C7" w:rsidRDefault="001509C7">
      <w:pPr>
        <w:spacing w:before="0" w:after="0" w:line="240" w:lineRule="auto"/>
      </w:pPr>
      <w:r>
        <w:separator/>
      </w:r>
    </w:p>
  </w:endnote>
  <w:endnote w:type="continuationSeparator" w:id="0">
    <w:p w14:paraId="66DEC35E" w14:textId="77777777" w:rsidR="001509C7" w:rsidRDefault="001509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27F4"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6645" w14:textId="77777777" w:rsidR="001509C7" w:rsidRDefault="001509C7">
      <w:pPr>
        <w:spacing w:before="0" w:after="0" w:line="240" w:lineRule="auto"/>
      </w:pPr>
      <w:r>
        <w:separator/>
      </w:r>
    </w:p>
  </w:footnote>
  <w:footnote w:type="continuationSeparator" w:id="0">
    <w:p w14:paraId="6896424A" w14:textId="77777777" w:rsidR="001509C7" w:rsidRDefault="001509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A6ED" w14:textId="2F202BB5" w:rsidR="00950E24" w:rsidRPr="00101D7B" w:rsidRDefault="00000000" w:rsidP="00843EA1">
    <w:pPr>
      <w:spacing w:after="120"/>
      <w:jc w:val="center"/>
      <w:rPr>
        <w:i/>
        <w:iCs/>
      </w:rPr>
    </w:pPr>
    <w:r>
      <w:rPr>
        <w:rFonts w:ascii="Arial" w:eastAsia="Arial" w:hAnsi="Arial" w:cs="Arial"/>
        <w:b/>
        <w:bCs/>
        <w:color w:val="1F4E79"/>
      </w:rPr>
      <w:t xml:space="preserve">CEA-UNIVERSITY </w:t>
    </w:r>
    <w:proofErr w:type="gramStart"/>
    <w:r>
      <w:rPr>
        <w:rFonts w:ascii="Arial" w:eastAsia="Arial" w:hAnsi="Arial" w:cs="Arial"/>
        <w:b/>
        <w:bCs/>
        <w:color w:val="1F4E79"/>
      </w:rPr>
      <w:t>INSTITUTE</w:t>
    </w:r>
    <w:r>
      <w:rPr>
        <w:rFonts w:ascii="Arial" w:eastAsia="Arial" w:hAnsi="Arial" w:cs="Arial"/>
        <w:color w:val="666666"/>
        <w:sz w:val="18"/>
        <w:szCs w:val="18"/>
      </w:rPr>
      <w:t xml:space="preserve">  |</w:t>
    </w:r>
    <w:proofErr w:type="gramEnd"/>
    <w:r>
      <w:rPr>
        <w:rFonts w:ascii="Arial" w:eastAsia="Arial" w:hAnsi="Arial" w:cs="Arial"/>
        <w:color w:val="666666"/>
        <w:sz w:val="18"/>
        <w:szCs w:val="18"/>
      </w:rPr>
      <w:t xml:space="preserve">  Madrid, Spain  | </w:t>
    </w:r>
    <w:r w:rsidR="00101D7B">
      <w:rPr>
        <w:rFonts w:ascii="Arial" w:eastAsia="Arial" w:hAnsi="Arial" w:cs="Arial"/>
        <w:i/>
        <w:iCs/>
        <w:color w:val="666666"/>
        <w:sz w:val="18"/>
        <w:szCs w:val="18"/>
      </w:rPr>
      <w:t xml:space="preserve"> MAPM 632 Business Consulting &amp; Organizational Design for Strategic Project Alignment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4"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1"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9AB"/>
    <w:multiLevelType w:val="hybridMultilevel"/>
    <w:tmpl w:val="5ECA0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7"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5"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7"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6"/>
    <w:lvlOverride w:ilvl="0">
      <w:startOverride w:val="1"/>
    </w:lvlOverride>
  </w:num>
  <w:num w:numId="3" w16cid:durableId="844395569">
    <w:abstractNumId w:val="10"/>
    <w:lvlOverride w:ilvl="0">
      <w:startOverride w:val="1"/>
    </w:lvlOverride>
  </w:num>
  <w:num w:numId="4" w16cid:durableId="1132557304">
    <w:abstractNumId w:val="8"/>
    <w:lvlOverride w:ilvl="0">
      <w:startOverride w:val="1"/>
    </w:lvlOverride>
  </w:num>
  <w:num w:numId="5" w16cid:durableId="532310420">
    <w:abstractNumId w:val="16"/>
    <w:lvlOverride w:ilvl="0">
      <w:startOverride w:val="1"/>
    </w:lvlOverride>
  </w:num>
  <w:num w:numId="6" w16cid:durableId="322858239">
    <w:abstractNumId w:val="6"/>
    <w:lvlOverride w:ilvl="0">
      <w:startOverride w:val="1"/>
    </w:lvlOverride>
  </w:num>
  <w:num w:numId="7" w16cid:durableId="228810943">
    <w:abstractNumId w:val="13"/>
  </w:num>
  <w:num w:numId="8" w16cid:durableId="1461995752">
    <w:abstractNumId w:val="11"/>
  </w:num>
  <w:num w:numId="9" w16cid:durableId="672149183">
    <w:abstractNumId w:val="1"/>
  </w:num>
  <w:num w:numId="10" w16cid:durableId="1119760220">
    <w:abstractNumId w:val="9"/>
  </w:num>
  <w:num w:numId="11" w16cid:durableId="452209335">
    <w:abstractNumId w:val="30"/>
  </w:num>
  <w:num w:numId="12" w16cid:durableId="146628122">
    <w:abstractNumId w:val="25"/>
  </w:num>
  <w:num w:numId="13" w16cid:durableId="1205678676">
    <w:abstractNumId w:val="28"/>
  </w:num>
  <w:num w:numId="14" w16cid:durableId="1503621005">
    <w:abstractNumId w:val="15"/>
  </w:num>
  <w:num w:numId="15" w16cid:durableId="530342512">
    <w:abstractNumId w:val="17"/>
  </w:num>
  <w:num w:numId="16" w16cid:durableId="1558466522">
    <w:abstractNumId w:val="4"/>
  </w:num>
  <w:num w:numId="17" w16cid:durableId="1008828340">
    <w:abstractNumId w:val="26"/>
  </w:num>
  <w:num w:numId="18" w16cid:durableId="1564440218">
    <w:abstractNumId w:val="22"/>
  </w:num>
  <w:num w:numId="19" w16cid:durableId="447630528">
    <w:abstractNumId w:val="5"/>
  </w:num>
  <w:num w:numId="20" w16cid:durableId="1650939906">
    <w:abstractNumId w:val="6"/>
  </w:num>
  <w:num w:numId="21" w16cid:durableId="2086099451">
    <w:abstractNumId w:val="7"/>
  </w:num>
  <w:num w:numId="22" w16cid:durableId="1904482590">
    <w:abstractNumId w:val="20"/>
  </w:num>
  <w:num w:numId="23" w16cid:durableId="1130175524">
    <w:abstractNumId w:val="18"/>
  </w:num>
  <w:num w:numId="24" w16cid:durableId="676271136">
    <w:abstractNumId w:val="32"/>
  </w:num>
  <w:num w:numId="25" w16cid:durableId="400174050">
    <w:abstractNumId w:val="14"/>
  </w:num>
  <w:num w:numId="26" w16cid:durableId="1570966680">
    <w:abstractNumId w:val="23"/>
  </w:num>
  <w:num w:numId="27" w16cid:durableId="741373639">
    <w:abstractNumId w:val="27"/>
  </w:num>
  <w:num w:numId="28" w16cid:durableId="459760137">
    <w:abstractNumId w:val="21"/>
  </w:num>
  <w:num w:numId="29" w16cid:durableId="381439245">
    <w:abstractNumId w:val="12"/>
  </w:num>
  <w:num w:numId="30" w16cid:durableId="2030527677">
    <w:abstractNumId w:val="31"/>
  </w:num>
  <w:num w:numId="31" w16cid:durableId="1320766046">
    <w:abstractNumId w:val="19"/>
  </w:num>
  <w:num w:numId="32" w16cid:durableId="393236027">
    <w:abstractNumId w:val="29"/>
  </w:num>
  <w:num w:numId="33" w16cid:durableId="2079209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A0BCD"/>
    <w:rsid w:val="000B3A95"/>
    <w:rsid w:val="000C383D"/>
    <w:rsid w:val="000F2A0A"/>
    <w:rsid w:val="000F6AEF"/>
    <w:rsid w:val="00101D7B"/>
    <w:rsid w:val="0010775D"/>
    <w:rsid w:val="0012616C"/>
    <w:rsid w:val="0012618B"/>
    <w:rsid w:val="00132718"/>
    <w:rsid w:val="00133968"/>
    <w:rsid w:val="001379D7"/>
    <w:rsid w:val="0014599A"/>
    <w:rsid w:val="00146265"/>
    <w:rsid w:val="001465ED"/>
    <w:rsid w:val="001509C7"/>
    <w:rsid w:val="00152886"/>
    <w:rsid w:val="0016760E"/>
    <w:rsid w:val="0016768C"/>
    <w:rsid w:val="00171016"/>
    <w:rsid w:val="00171499"/>
    <w:rsid w:val="00186D67"/>
    <w:rsid w:val="00195379"/>
    <w:rsid w:val="001B1BCA"/>
    <w:rsid w:val="001B4195"/>
    <w:rsid w:val="001C1C60"/>
    <w:rsid w:val="001C3056"/>
    <w:rsid w:val="001C45D1"/>
    <w:rsid w:val="00210334"/>
    <w:rsid w:val="00212E79"/>
    <w:rsid w:val="00216094"/>
    <w:rsid w:val="00221801"/>
    <w:rsid w:val="0024038D"/>
    <w:rsid w:val="002403A3"/>
    <w:rsid w:val="00241480"/>
    <w:rsid w:val="00244F36"/>
    <w:rsid w:val="00251592"/>
    <w:rsid w:val="002537DE"/>
    <w:rsid w:val="002570CB"/>
    <w:rsid w:val="002575D3"/>
    <w:rsid w:val="00281122"/>
    <w:rsid w:val="00295C2B"/>
    <w:rsid w:val="00296335"/>
    <w:rsid w:val="002A0F9B"/>
    <w:rsid w:val="002A51AF"/>
    <w:rsid w:val="002B3B0A"/>
    <w:rsid w:val="002B56D3"/>
    <w:rsid w:val="002C4A5A"/>
    <w:rsid w:val="002E4347"/>
    <w:rsid w:val="002E7D23"/>
    <w:rsid w:val="003007F8"/>
    <w:rsid w:val="00323943"/>
    <w:rsid w:val="00331CFA"/>
    <w:rsid w:val="00344F37"/>
    <w:rsid w:val="003472EC"/>
    <w:rsid w:val="00363033"/>
    <w:rsid w:val="003656F9"/>
    <w:rsid w:val="003938AA"/>
    <w:rsid w:val="0039569A"/>
    <w:rsid w:val="003A126C"/>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6700"/>
    <w:rsid w:val="00637A11"/>
    <w:rsid w:val="00644034"/>
    <w:rsid w:val="00644FB5"/>
    <w:rsid w:val="00690177"/>
    <w:rsid w:val="00696A29"/>
    <w:rsid w:val="00697362"/>
    <w:rsid w:val="006A065D"/>
    <w:rsid w:val="006D631E"/>
    <w:rsid w:val="006E1C55"/>
    <w:rsid w:val="006F3636"/>
    <w:rsid w:val="006F4DB7"/>
    <w:rsid w:val="006F6B51"/>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B3CD9"/>
    <w:rsid w:val="007B55DE"/>
    <w:rsid w:val="007C01E6"/>
    <w:rsid w:val="007C2A9A"/>
    <w:rsid w:val="007C2B03"/>
    <w:rsid w:val="007C667B"/>
    <w:rsid w:val="007D1702"/>
    <w:rsid w:val="007D6504"/>
    <w:rsid w:val="007D79F5"/>
    <w:rsid w:val="007E0485"/>
    <w:rsid w:val="007E3CF0"/>
    <w:rsid w:val="007E6C40"/>
    <w:rsid w:val="00804D8E"/>
    <w:rsid w:val="0081050D"/>
    <w:rsid w:val="0081412A"/>
    <w:rsid w:val="00826CC6"/>
    <w:rsid w:val="008271B7"/>
    <w:rsid w:val="008310CB"/>
    <w:rsid w:val="00833ADB"/>
    <w:rsid w:val="0083719C"/>
    <w:rsid w:val="00843EA1"/>
    <w:rsid w:val="00852468"/>
    <w:rsid w:val="00885CEA"/>
    <w:rsid w:val="00893901"/>
    <w:rsid w:val="008B4FB7"/>
    <w:rsid w:val="008B525E"/>
    <w:rsid w:val="008C32CF"/>
    <w:rsid w:val="008C32D6"/>
    <w:rsid w:val="008D026E"/>
    <w:rsid w:val="008D24BE"/>
    <w:rsid w:val="008D6653"/>
    <w:rsid w:val="008D6843"/>
    <w:rsid w:val="008E5577"/>
    <w:rsid w:val="008E7F06"/>
    <w:rsid w:val="008F116D"/>
    <w:rsid w:val="0090299A"/>
    <w:rsid w:val="009113B2"/>
    <w:rsid w:val="00926FB4"/>
    <w:rsid w:val="00935E7D"/>
    <w:rsid w:val="00950E24"/>
    <w:rsid w:val="00960502"/>
    <w:rsid w:val="009614C3"/>
    <w:rsid w:val="00965BF3"/>
    <w:rsid w:val="00994EF9"/>
    <w:rsid w:val="009A3CEF"/>
    <w:rsid w:val="009A49D3"/>
    <w:rsid w:val="009A5C86"/>
    <w:rsid w:val="009B0458"/>
    <w:rsid w:val="009C2475"/>
    <w:rsid w:val="009D3DA0"/>
    <w:rsid w:val="009E3A45"/>
    <w:rsid w:val="009F3B22"/>
    <w:rsid w:val="009F7B76"/>
    <w:rsid w:val="009F7EDE"/>
    <w:rsid w:val="00A07803"/>
    <w:rsid w:val="00A25616"/>
    <w:rsid w:val="00A50807"/>
    <w:rsid w:val="00A57C15"/>
    <w:rsid w:val="00A61905"/>
    <w:rsid w:val="00A664D6"/>
    <w:rsid w:val="00A86609"/>
    <w:rsid w:val="00A87ABF"/>
    <w:rsid w:val="00A90952"/>
    <w:rsid w:val="00A9123B"/>
    <w:rsid w:val="00A94044"/>
    <w:rsid w:val="00A95002"/>
    <w:rsid w:val="00A97E7D"/>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D1526"/>
    <w:rsid w:val="00BD36D5"/>
    <w:rsid w:val="00BD4654"/>
    <w:rsid w:val="00BE3338"/>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66A4"/>
    <w:rsid w:val="00D27A8F"/>
    <w:rsid w:val="00D3245C"/>
    <w:rsid w:val="00D37049"/>
    <w:rsid w:val="00D43707"/>
    <w:rsid w:val="00D5070F"/>
    <w:rsid w:val="00D515F7"/>
    <w:rsid w:val="00D53C64"/>
    <w:rsid w:val="00D613CD"/>
    <w:rsid w:val="00D64F56"/>
    <w:rsid w:val="00D70E55"/>
    <w:rsid w:val="00D750D1"/>
    <w:rsid w:val="00D7560D"/>
    <w:rsid w:val="00D77AD9"/>
    <w:rsid w:val="00D87D99"/>
    <w:rsid w:val="00DA7F39"/>
    <w:rsid w:val="00DB1F42"/>
    <w:rsid w:val="00DB630C"/>
    <w:rsid w:val="00DD1304"/>
    <w:rsid w:val="00DE09DF"/>
    <w:rsid w:val="00DE30DA"/>
    <w:rsid w:val="00DE6FDB"/>
    <w:rsid w:val="00DF0769"/>
    <w:rsid w:val="00E20378"/>
    <w:rsid w:val="00E22248"/>
    <w:rsid w:val="00E2352A"/>
    <w:rsid w:val="00E23CA0"/>
    <w:rsid w:val="00E3293F"/>
    <w:rsid w:val="00E4061C"/>
    <w:rsid w:val="00E42AAD"/>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3D25"/>
    <w:rsid w:val="00F14836"/>
    <w:rsid w:val="00F2060C"/>
    <w:rsid w:val="00F3002F"/>
    <w:rsid w:val="00F309E2"/>
    <w:rsid w:val="00F342DE"/>
    <w:rsid w:val="00F5303D"/>
    <w:rsid w:val="00F70149"/>
    <w:rsid w:val="00F746E5"/>
    <w:rsid w:val="00F92F6D"/>
    <w:rsid w:val="00F96118"/>
    <w:rsid w:val="00FA0C5B"/>
    <w:rsid w:val="00FB18B1"/>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32B5"/>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character" w:styleId="CommentReference">
    <w:name w:val="annotation reference"/>
    <w:basedOn w:val="DefaultParagraphFont"/>
    <w:uiPriority w:val="99"/>
    <w:semiHidden/>
    <w:unhideWhenUsed/>
    <w:rsid w:val="002E7D23"/>
    <w:rPr>
      <w:sz w:val="16"/>
      <w:szCs w:val="16"/>
    </w:rPr>
  </w:style>
  <w:style w:type="paragraph" w:styleId="CommentText">
    <w:name w:val="annotation text"/>
    <w:basedOn w:val="Normal"/>
    <w:link w:val="CommentTextChar"/>
    <w:uiPriority w:val="99"/>
    <w:unhideWhenUsed/>
    <w:rsid w:val="002E7D23"/>
    <w:pPr>
      <w:spacing w:line="240" w:lineRule="auto"/>
    </w:pPr>
  </w:style>
  <w:style w:type="character" w:customStyle="1" w:styleId="CommentTextChar">
    <w:name w:val="Comment Text Char"/>
    <w:basedOn w:val="DefaultParagraphFont"/>
    <w:link w:val="CommentText"/>
    <w:uiPriority w:val="99"/>
    <w:rsid w:val="002E7D23"/>
    <w:rPr>
      <w:sz w:val="20"/>
      <w:szCs w:val="20"/>
    </w:rPr>
  </w:style>
  <w:style w:type="paragraph" w:styleId="CommentSubject">
    <w:name w:val="annotation subject"/>
    <w:basedOn w:val="CommentText"/>
    <w:next w:val="CommentText"/>
    <w:link w:val="CommentSubjectChar"/>
    <w:uiPriority w:val="99"/>
    <w:semiHidden/>
    <w:unhideWhenUsed/>
    <w:rsid w:val="002E7D23"/>
    <w:rPr>
      <w:b/>
      <w:bCs/>
    </w:rPr>
  </w:style>
  <w:style w:type="character" w:customStyle="1" w:styleId="CommentSubjectChar">
    <w:name w:val="Comment Subject Char"/>
    <w:basedOn w:val="CommentTextChar"/>
    <w:link w:val="CommentSubject"/>
    <w:uiPriority w:val="99"/>
    <w:semiHidden/>
    <w:rsid w:val="002E7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29</cp:revision>
  <dcterms:created xsi:type="dcterms:W3CDTF">2026-03-06T04:58:00Z</dcterms:created>
  <dcterms:modified xsi:type="dcterms:W3CDTF">2026-03-15T21:08:00Z</dcterms:modified>
</cp:coreProperties>
</file>